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1188"/>
        <w:tblW w:w="48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94"/>
        <w:gridCol w:w="8083"/>
        <w:gridCol w:w="4379"/>
        <w:gridCol w:w="17"/>
        <w:gridCol w:w="17"/>
      </w:tblGrid>
      <w:tr w:rsidR="004E7CA8" w:rsidRPr="00220AC6" w14:paraId="50C27A95" w14:textId="1BCB6FD4" w:rsidTr="006A5468">
        <w:trPr>
          <w:trHeight w:val="284"/>
        </w:trPr>
        <w:tc>
          <w:tcPr>
            <w:tcW w:w="5000" w:type="pct"/>
            <w:gridSpan w:val="5"/>
          </w:tcPr>
          <w:p w14:paraId="668DC6EB" w14:textId="5B60B76D" w:rsidR="004E7CA8" w:rsidRPr="00220AC6" w:rsidRDefault="004E7CA8" w:rsidP="00987F78">
            <w:pPr>
              <w:jc w:val="right"/>
              <w:rPr>
                <w:rFonts w:ascii="Aptos" w:hAnsi="Aptos" w:cstheme="minorHAnsi"/>
                <w:bCs/>
                <w:sz w:val="24"/>
                <w:szCs w:val="24"/>
              </w:rPr>
            </w:pPr>
            <w:r w:rsidRPr="00220AC6">
              <w:rPr>
                <w:rFonts w:ascii="Aptos" w:hAnsi="Aptos" w:cstheme="minorHAnsi"/>
                <w:bCs/>
                <w:sz w:val="24"/>
                <w:szCs w:val="24"/>
              </w:rPr>
              <w:t xml:space="preserve">Załącznik Nr </w:t>
            </w:r>
            <w:r>
              <w:rPr>
                <w:rFonts w:ascii="Aptos" w:hAnsi="Aptos" w:cstheme="minorHAnsi"/>
                <w:bCs/>
                <w:sz w:val="24"/>
                <w:szCs w:val="24"/>
              </w:rPr>
              <w:t>2</w:t>
            </w:r>
            <w:r w:rsidRPr="00220AC6">
              <w:rPr>
                <w:rFonts w:ascii="Aptos" w:hAnsi="Aptos" w:cstheme="minorHAnsi"/>
                <w:bCs/>
                <w:sz w:val="24"/>
                <w:szCs w:val="24"/>
              </w:rPr>
              <w:t>a do zapytania ofertowego</w:t>
            </w:r>
          </w:p>
        </w:tc>
      </w:tr>
      <w:tr w:rsidR="004E7CA8" w:rsidRPr="00220AC6" w14:paraId="0D963B5E" w14:textId="68151A55" w:rsidTr="006A5468">
        <w:trPr>
          <w:trHeight w:val="284"/>
        </w:trPr>
        <w:tc>
          <w:tcPr>
            <w:tcW w:w="5000" w:type="pct"/>
            <w:gridSpan w:val="5"/>
          </w:tcPr>
          <w:p w14:paraId="0CA01D7A" w14:textId="723FC03A" w:rsidR="004E7CA8" w:rsidRPr="00220AC6" w:rsidRDefault="004E7CA8" w:rsidP="004A7A9B">
            <w:pPr>
              <w:jc w:val="both"/>
              <w:rPr>
                <w:rFonts w:ascii="Aptos" w:hAnsi="Aptos" w:cstheme="minorHAnsi"/>
                <w:b/>
                <w:sz w:val="24"/>
                <w:szCs w:val="24"/>
              </w:rPr>
            </w:pPr>
            <w:r w:rsidRPr="00220AC6">
              <w:rPr>
                <w:rFonts w:ascii="Aptos" w:hAnsi="Aptos" w:cstheme="minorHAnsi"/>
                <w:b/>
                <w:sz w:val="24"/>
                <w:szCs w:val="24"/>
              </w:rPr>
              <w:t>Nazwa nadana przez Zamawiającego: doposażenie pracowni informatycznych – zakup licencji</w:t>
            </w:r>
          </w:p>
        </w:tc>
      </w:tr>
      <w:tr w:rsidR="004E7CA8" w:rsidRPr="00220AC6" w14:paraId="3D6ABB53" w14:textId="759788B0" w:rsidTr="006A5468">
        <w:trPr>
          <w:gridAfter w:val="1"/>
          <w:wAfter w:w="6" w:type="pct"/>
          <w:trHeight w:val="284"/>
        </w:trPr>
        <w:tc>
          <w:tcPr>
            <w:tcW w:w="597" w:type="pct"/>
          </w:tcPr>
          <w:p w14:paraId="717131A1" w14:textId="3013DE0C" w:rsidR="004E7CA8" w:rsidRPr="00220AC6" w:rsidRDefault="004E7CA8" w:rsidP="00BA50B5">
            <w:pPr>
              <w:jc w:val="center"/>
              <w:rPr>
                <w:rFonts w:ascii="Aptos" w:hAnsi="Aptos" w:cstheme="minorHAnsi"/>
                <w:bCs/>
                <w:sz w:val="24"/>
                <w:szCs w:val="24"/>
              </w:rPr>
            </w:pPr>
            <w:r w:rsidRPr="00220AC6">
              <w:rPr>
                <w:rFonts w:ascii="Aptos" w:hAnsi="Aptos" w:cstheme="minorHAnsi"/>
                <w:bCs/>
                <w:sz w:val="24"/>
                <w:szCs w:val="24"/>
              </w:rPr>
              <w:t>Zastosowanie:</w:t>
            </w:r>
          </w:p>
        </w:tc>
        <w:tc>
          <w:tcPr>
            <w:tcW w:w="2848" w:type="pct"/>
          </w:tcPr>
          <w:p w14:paraId="2CE08C15" w14:textId="089D8F80" w:rsidR="004E7CA8" w:rsidRPr="00D03846" w:rsidRDefault="004E7CA8" w:rsidP="00BA50B5">
            <w:pPr>
              <w:jc w:val="both"/>
              <w:rPr>
                <w:rFonts w:ascii="Aptos" w:hAnsi="Aptos" w:cstheme="minorHAnsi"/>
                <w:b/>
                <w:sz w:val="32"/>
                <w:szCs w:val="32"/>
              </w:rPr>
            </w:pPr>
            <w:r w:rsidRPr="00220AC6">
              <w:rPr>
                <w:rFonts w:ascii="Aptos" w:hAnsi="Aptos" w:cstheme="minorHAnsi"/>
                <w:bCs/>
                <w:sz w:val="24"/>
                <w:szCs w:val="24"/>
              </w:rPr>
              <w:t>Użytkowanie przez uczniów i nauczycieli w szkolnej pracowni informatycznej w procesie kształcenia w zawodzie technik informatyk</w:t>
            </w:r>
          </w:p>
        </w:tc>
        <w:tc>
          <w:tcPr>
            <w:tcW w:w="1549" w:type="pct"/>
            <w:gridSpan w:val="2"/>
          </w:tcPr>
          <w:p w14:paraId="45D4DE08" w14:textId="77777777" w:rsidR="004E7CA8" w:rsidRPr="00220AC6" w:rsidRDefault="004E7CA8" w:rsidP="004E7CA8">
            <w:pPr>
              <w:jc w:val="both"/>
              <w:rPr>
                <w:rFonts w:ascii="Aptos" w:hAnsi="Aptos" w:cstheme="minorHAnsi"/>
                <w:bCs/>
                <w:sz w:val="24"/>
                <w:szCs w:val="24"/>
              </w:rPr>
            </w:pPr>
          </w:p>
          <w:p w14:paraId="5163D10E" w14:textId="1256C1CF" w:rsidR="004E7CA8" w:rsidRPr="00220AC6" w:rsidRDefault="004E7CA8" w:rsidP="004E7CA8">
            <w:pPr>
              <w:jc w:val="both"/>
              <w:rPr>
                <w:rFonts w:ascii="Aptos" w:hAnsi="Aptos" w:cstheme="minorHAnsi"/>
                <w:bCs/>
                <w:sz w:val="24"/>
                <w:szCs w:val="24"/>
              </w:rPr>
            </w:pPr>
            <w:r w:rsidRPr="00D03846">
              <w:rPr>
                <w:rFonts w:ascii="Aptos" w:hAnsi="Aptos" w:cstheme="minorHAnsi"/>
                <w:b/>
                <w:sz w:val="32"/>
                <w:szCs w:val="32"/>
              </w:rPr>
              <w:t>Ilość: …………………………. licencji</w:t>
            </w:r>
          </w:p>
        </w:tc>
      </w:tr>
      <w:tr w:rsidR="004E7CA8" w:rsidRPr="00220AC6" w14:paraId="2742A6C5" w14:textId="7D57EF82" w:rsidTr="006A5468">
        <w:trPr>
          <w:trHeight w:val="284"/>
        </w:trPr>
        <w:tc>
          <w:tcPr>
            <w:tcW w:w="5000" w:type="pct"/>
            <w:gridSpan w:val="5"/>
          </w:tcPr>
          <w:p w14:paraId="318C3DDF" w14:textId="1F013E73" w:rsidR="004E7CA8" w:rsidRPr="00220AC6" w:rsidRDefault="004E7CA8" w:rsidP="00370844">
            <w:pPr>
              <w:jc w:val="both"/>
              <w:rPr>
                <w:rFonts w:ascii="Aptos" w:hAnsi="Aptos"/>
                <w:sz w:val="24"/>
                <w:szCs w:val="24"/>
              </w:rPr>
            </w:pPr>
            <w:r w:rsidRPr="00220AC6">
              <w:rPr>
                <w:rFonts w:ascii="Aptos" w:hAnsi="Aptos"/>
                <w:sz w:val="24"/>
                <w:szCs w:val="24"/>
              </w:rPr>
              <w:t>Zakup jest dokonywany na potrzeby realizacji p</w:t>
            </w:r>
            <w:r w:rsidRPr="00220AC6">
              <w:rPr>
                <w:rFonts w:ascii="Aptos" w:eastAsia="DejaVuSans" w:hAnsi="Aptos"/>
                <w:sz w:val="24"/>
                <w:szCs w:val="24"/>
              </w:rPr>
              <w:t>rojektu</w:t>
            </w:r>
            <w:r w:rsidRPr="00220AC6">
              <w:rPr>
                <w:rFonts w:ascii="Aptos" w:hAnsi="Aptos"/>
                <w:sz w:val="24"/>
                <w:szCs w:val="24"/>
              </w:rPr>
              <w:t xml:space="preserve">, którego celem </w:t>
            </w:r>
            <w:r w:rsidRPr="00220AC6">
              <w:rPr>
                <w:rFonts w:ascii="Aptos" w:eastAsia="DejaVuSans" w:hAnsi="Aptos"/>
                <w:sz w:val="24"/>
                <w:szCs w:val="24"/>
              </w:rPr>
              <w:t>jest podniesienie jakości kształcenia w</w:t>
            </w:r>
            <w:r w:rsidRPr="00220AC6">
              <w:rPr>
                <w:rFonts w:ascii="Aptos" w:hAnsi="Aptos"/>
                <w:sz w:val="24"/>
                <w:szCs w:val="24"/>
              </w:rPr>
              <w:t xml:space="preserve"> </w:t>
            </w:r>
            <w:r w:rsidRPr="00220AC6">
              <w:rPr>
                <w:rFonts w:ascii="Aptos" w:eastAsia="DejaVuSans" w:hAnsi="Aptos"/>
                <w:sz w:val="24"/>
                <w:szCs w:val="24"/>
              </w:rPr>
              <w:t>Salezjańskim Publicznym Technikum w Świętochłowicach poprzez podniesienie kwalifikacji w zawodzie technika informatyka</w:t>
            </w:r>
            <w:r w:rsidRPr="00220AC6">
              <w:rPr>
                <w:rFonts w:ascii="Aptos" w:hAnsi="Aptos"/>
                <w:sz w:val="24"/>
                <w:szCs w:val="24"/>
              </w:rPr>
              <w:t xml:space="preserve"> </w:t>
            </w:r>
            <w:r w:rsidRPr="00220AC6">
              <w:rPr>
                <w:rFonts w:ascii="Aptos" w:eastAsia="DejaVuSans" w:hAnsi="Aptos"/>
                <w:sz w:val="24"/>
                <w:szCs w:val="24"/>
              </w:rPr>
              <w:t>zgodnie z potrzebami transformacji regionu</w:t>
            </w:r>
            <w:r w:rsidRPr="00220AC6">
              <w:rPr>
                <w:rFonts w:ascii="Aptos" w:hAnsi="Aptos"/>
                <w:sz w:val="24"/>
                <w:szCs w:val="24"/>
              </w:rPr>
              <w:t xml:space="preserve"> </w:t>
            </w:r>
            <w:r w:rsidRPr="00220AC6">
              <w:rPr>
                <w:rFonts w:ascii="Aptos" w:eastAsia="DejaVuSans" w:hAnsi="Aptos"/>
                <w:sz w:val="24"/>
                <w:szCs w:val="24"/>
              </w:rPr>
              <w:t>a także wsparcie praktycznej nauki zawodu poprzez doposażenie trzech pracowni</w:t>
            </w:r>
            <w:r w:rsidRPr="00220AC6">
              <w:rPr>
                <w:rFonts w:ascii="Aptos" w:hAnsi="Aptos"/>
                <w:sz w:val="24"/>
                <w:szCs w:val="24"/>
              </w:rPr>
              <w:t xml:space="preserve"> </w:t>
            </w:r>
            <w:r w:rsidRPr="00220AC6">
              <w:rPr>
                <w:rFonts w:ascii="Aptos" w:eastAsia="DejaVuSans" w:hAnsi="Aptos"/>
                <w:sz w:val="24"/>
                <w:szCs w:val="24"/>
              </w:rPr>
              <w:t>informatycznych Salezjańskiego Publicznego Technikum w Świętochłowicach w kierunku zielonej i cyfrowej gospodarki</w:t>
            </w:r>
            <w:r w:rsidRPr="00220AC6">
              <w:rPr>
                <w:rFonts w:ascii="Aptos" w:hAnsi="Aptos"/>
                <w:sz w:val="24"/>
                <w:szCs w:val="24"/>
              </w:rPr>
              <w:t>, zgodnie z podstawą programową kształcenia w zawodzie szkolnictwa branżowego technik informatyk w kwalifikacjach: Administracja i eksploatacja systemów komputerowych, urządzeń peryferyjnych i lokalnych sieci komputerowych oraz Tworzenie i administrowanie stronami i aplikacjami internetowymi oraz bazami danych</w:t>
            </w:r>
            <w:r w:rsidR="006A5468">
              <w:rPr>
                <w:rFonts w:ascii="Aptos" w:hAnsi="Aptos"/>
                <w:sz w:val="24"/>
                <w:szCs w:val="24"/>
              </w:rPr>
              <w:br/>
            </w:r>
            <w:r w:rsidRPr="00220AC6">
              <w:rPr>
                <w:rFonts w:ascii="Aptos" w:hAnsi="Aptos"/>
                <w:sz w:val="24"/>
                <w:szCs w:val="24"/>
              </w:rPr>
              <w:t>a także na potrzeby egzaminów kwalifikacyjnych w zawodzie technik informatyk.</w:t>
            </w:r>
          </w:p>
        </w:tc>
      </w:tr>
      <w:tr w:rsidR="004E7CA8" w:rsidRPr="00220AC6" w14:paraId="310D2E2B" w14:textId="6C2E605C" w:rsidTr="006A5468">
        <w:trPr>
          <w:trHeight w:val="284"/>
        </w:trPr>
        <w:tc>
          <w:tcPr>
            <w:tcW w:w="5000" w:type="pct"/>
            <w:gridSpan w:val="5"/>
          </w:tcPr>
          <w:p w14:paraId="4A33AD25" w14:textId="7747166E" w:rsidR="004E7CA8" w:rsidRPr="00220AC6" w:rsidRDefault="004E7CA8" w:rsidP="00BA50B5">
            <w:pPr>
              <w:jc w:val="both"/>
              <w:rPr>
                <w:rFonts w:ascii="Aptos" w:hAnsi="Aptos" w:cstheme="minorHAnsi"/>
                <w:bCs/>
                <w:sz w:val="24"/>
                <w:szCs w:val="24"/>
              </w:rPr>
            </w:pPr>
            <w:r w:rsidRPr="00220AC6">
              <w:rPr>
                <w:rFonts w:ascii="Aptos" w:hAnsi="Aptos" w:cstheme="minorHAnsi"/>
                <w:bCs/>
                <w:sz w:val="24"/>
                <w:szCs w:val="24"/>
              </w:rPr>
              <w:t>Zamówienie obejmuje dostawę towarów w rodzaju i w ilości przedstawionej w niniejszym załączniku z uwzględnieniem dostosowania do potrzeb osób z niepełnosprawnościami, zgodnie z zasadami uniwersalnego projektowania oraz Zał. Nr 2 do Wytycznych dotyczących realizacji zasad równościowych w ramach funduszy unijnych na lata 2021-2027  - Standardami dostępności dla polityki spójności 2021-2027</w:t>
            </w:r>
          </w:p>
        </w:tc>
      </w:tr>
      <w:tr w:rsidR="004E7CA8" w:rsidRPr="00220AC6" w14:paraId="1717F0C3" w14:textId="3B864ADE" w:rsidTr="006A5468">
        <w:trPr>
          <w:gridAfter w:val="2"/>
          <w:wAfter w:w="12" w:type="pct"/>
          <w:trHeight w:val="284"/>
        </w:trPr>
        <w:tc>
          <w:tcPr>
            <w:tcW w:w="3445" w:type="pct"/>
            <w:gridSpan w:val="2"/>
          </w:tcPr>
          <w:p w14:paraId="2EACE550" w14:textId="77777777" w:rsidR="004E7CA8" w:rsidRPr="00220AC6" w:rsidRDefault="004E7CA8" w:rsidP="00BA50B5">
            <w:pPr>
              <w:jc w:val="both"/>
              <w:rPr>
                <w:rFonts w:ascii="Aptos" w:hAnsi="Aptos" w:cstheme="minorHAnsi"/>
                <w:b/>
                <w:sz w:val="24"/>
                <w:szCs w:val="24"/>
              </w:rPr>
            </w:pPr>
            <w:r w:rsidRPr="00220AC6">
              <w:rPr>
                <w:rFonts w:ascii="Aptos" w:hAnsi="Aptos" w:cstheme="minorHAnsi"/>
                <w:b/>
                <w:sz w:val="24"/>
                <w:szCs w:val="24"/>
              </w:rPr>
              <w:t xml:space="preserve">Opis minimalnych wymagań technicznych / ilościowych. </w:t>
            </w:r>
          </w:p>
          <w:p w14:paraId="5B6A464D" w14:textId="39E5F9AA" w:rsidR="004E7CA8" w:rsidRPr="00220AC6" w:rsidRDefault="004E7CA8" w:rsidP="00BA50B5">
            <w:pPr>
              <w:jc w:val="both"/>
              <w:rPr>
                <w:rFonts w:ascii="Aptos" w:hAnsi="Aptos" w:cstheme="minorHAnsi"/>
                <w:bCs/>
                <w:sz w:val="24"/>
                <w:szCs w:val="24"/>
              </w:rPr>
            </w:pPr>
            <w:r w:rsidRPr="00220AC6">
              <w:rPr>
                <w:rFonts w:ascii="Aptos" w:hAnsi="Aptos" w:cstheme="minorHAnsi"/>
                <w:b/>
                <w:sz w:val="24"/>
                <w:szCs w:val="24"/>
              </w:rPr>
              <w:t>Minimalne parametry i cechy towaru:</w:t>
            </w:r>
          </w:p>
        </w:tc>
        <w:tc>
          <w:tcPr>
            <w:tcW w:w="1543" w:type="pct"/>
          </w:tcPr>
          <w:p w14:paraId="29F30C1A" w14:textId="24AFAEC5" w:rsidR="004E7CA8" w:rsidRPr="00220AC6" w:rsidRDefault="004E7CA8" w:rsidP="004E7CA8">
            <w:pPr>
              <w:jc w:val="both"/>
              <w:rPr>
                <w:rFonts w:ascii="Aptos" w:hAnsi="Aptos" w:cstheme="minorHAnsi"/>
                <w:b/>
                <w:sz w:val="24"/>
                <w:szCs w:val="24"/>
              </w:rPr>
            </w:pPr>
          </w:p>
        </w:tc>
      </w:tr>
      <w:tr w:rsidR="004E7CA8" w:rsidRPr="00220AC6" w14:paraId="69D47DE0" w14:textId="6C241909" w:rsidTr="006A5468">
        <w:trPr>
          <w:gridAfter w:val="1"/>
          <w:wAfter w:w="6" w:type="pct"/>
          <w:trHeight w:val="284"/>
        </w:trPr>
        <w:tc>
          <w:tcPr>
            <w:tcW w:w="597" w:type="pct"/>
          </w:tcPr>
          <w:p w14:paraId="48BF0EE0" w14:textId="3B370CC6" w:rsidR="004E7CA8" w:rsidRPr="00220AC6" w:rsidRDefault="004E7CA8" w:rsidP="005A4796">
            <w:pPr>
              <w:jc w:val="center"/>
              <w:rPr>
                <w:rFonts w:ascii="Aptos" w:hAnsi="Aptos" w:cstheme="minorHAnsi"/>
                <w:b/>
                <w:sz w:val="24"/>
                <w:szCs w:val="24"/>
              </w:rPr>
            </w:pPr>
            <w:r w:rsidRPr="00220AC6">
              <w:rPr>
                <w:rFonts w:ascii="Aptos" w:hAnsi="Aptos" w:cstheme="minorHAnsi"/>
                <w:b/>
                <w:sz w:val="24"/>
                <w:szCs w:val="24"/>
              </w:rPr>
              <w:t xml:space="preserve">Nazwa </w:t>
            </w:r>
          </w:p>
          <w:p w14:paraId="27311AC0" w14:textId="51E0067A" w:rsidR="004E7CA8" w:rsidRPr="00220AC6" w:rsidRDefault="004E7CA8" w:rsidP="00BA50B5">
            <w:pPr>
              <w:jc w:val="center"/>
              <w:rPr>
                <w:rFonts w:ascii="Aptos" w:hAnsi="Aptos" w:cstheme="minorHAnsi"/>
                <w:b/>
                <w:sz w:val="24"/>
                <w:szCs w:val="24"/>
              </w:rPr>
            </w:pPr>
          </w:p>
        </w:tc>
        <w:tc>
          <w:tcPr>
            <w:tcW w:w="2848" w:type="pct"/>
          </w:tcPr>
          <w:p w14:paraId="108217B7" w14:textId="1766EDCF" w:rsidR="004E7CA8" w:rsidRPr="004E7CA8" w:rsidRDefault="004E7CA8" w:rsidP="004E7CA8">
            <w:pPr>
              <w:spacing w:line="276" w:lineRule="auto"/>
              <w:jc w:val="both"/>
              <w:rPr>
                <w:rFonts w:ascii="Aptos" w:hAnsi="Aptos" w:cstheme="minorHAnsi"/>
                <w:b/>
                <w:sz w:val="24"/>
                <w:szCs w:val="24"/>
              </w:rPr>
            </w:pPr>
            <w:r w:rsidRPr="00220AC6">
              <w:rPr>
                <w:rFonts w:ascii="Aptos" w:hAnsi="Aptos" w:cstheme="minorHAnsi"/>
                <w:b/>
                <w:sz w:val="24"/>
                <w:szCs w:val="24"/>
              </w:rPr>
              <w:t>Wymagane minimalne parametry techniczne:</w:t>
            </w:r>
          </w:p>
        </w:tc>
        <w:tc>
          <w:tcPr>
            <w:tcW w:w="1549" w:type="pct"/>
            <w:gridSpan w:val="2"/>
          </w:tcPr>
          <w:p w14:paraId="02D0781D" w14:textId="77777777" w:rsidR="004E7CA8" w:rsidRPr="009A4169" w:rsidRDefault="004E7CA8" w:rsidP="004E7CA8">
            <w:pPr>
              <w:jc w:val="both"/>
              <w:rPr>
                <w:rFonts w:ascii="Aptos" w:hAnsi="Aptos" w:cstheme="minorHAnsi"/>
                <w:b/>
                <w:sz w:val="24"/>
                <w:szCs w:val="24"/>
              </w:rPr>
            </w:pPr>
            <w:r w:rsidRPr="009A4169">
              <w:rPr>
                <w:rFonts w:ascii="Aptos" w:hAnsi="Aptos" w:cstheme="minorHAnsi"/>
                <w:b/>
                <w:sz w:val="24"/>
                <w:szCs w:val="24"/>
              </w:rPr>
              <w:t>Parametry i cechy oferowanego towaru uwzględniające minimalne parametry techniczne:</w:t>
            </w:r>
          </w:p>
          <w:p w14:paraId="129C9B06" w14:textId="77777777" w:rsidR="004E7CA8" w:rsidRPr="009A4169" w:rsidRDefault="004E7CA8" w:rsidP="004E7CA8">
            <w:pPr>
              <w:jc w:val="both"/>
              <w:rPr>
                <w:rFonts w:ascii="Aptos" w:hAnsi="Aptos" w:cstheme="minorHAnsi"/>
                <w:bCs/>
                <w:sz w:val="24"/>
                <w:szCs w:val="24"/>
              </w:rPr>
            </w:pPr>
            <w:r w:rsidRPr="009A4169">
              <w:rPr>
                <w:rFonts w:ascii="Aptos" w:hAnsi="Aptos" w:cstheme="minorHAnsi"/>
                <w:bCs/>
                <w:sz w:val="24"/>
                <w:szCs w:val="24"/>
              </w:rPr>
              <w:t xml:space="preserve">Wypełnia Wykonawca – zaznaczyć właściwe. </w:t>
            </w:r>
          </w:p>
          <w:p w14:paraId="3FE15512" w14:textId="1CF3E849" w:rsidR="004E7CA8" w:rsidRPr="00220AC6" w:rsidRDefault="004E7CA8" w:rsidP="004E7CA8">
            <w:pPr>
              <w:spacing w:line="276" w:lineRule="auto"/>
              <w:jc w:val="both"/>
              <w:rPr>
                <w:rFonts w:ascii="Aptos" w:hAnsi="Aptos" w:cstheme="minorHAnsi"/>
                <w:b/>
                <w:sz w:val="24"/>
                <w:szCs w:val="24"/>
              </w:rPr>
            </w:pPr>
            <w:r w:rsidRPr="009A4169">
              <w:rPr>
                <w:rFonts w:ascii="Aptos" w:hAnsi="Aptos" w:cstheme="minorHAnsi"/>
                <w:bCs/>
                <w:sz w:val="24"/>
                <w:szCs w:val="24"/>
              </w:rPr>
              <w:t>*niepotrzebne skreślić</w:t>
            </w:r>
          </w:p>
        </w:tc>
      </w:tr>
      <w:tr w:rsidR="004E7CA8" w:rsidRPr="00220AC6" w14:paraId="377F32B0" w14:textId="42897578" w:rsidTr="006A5468">
        <w:trPr>
          <w:gridAfter w:val="1"/>
          <w:wAfter w:w="6" w:type="pct"/>
          <w:trHeight w:val="558"/>
        </w:trPr>
        <w:tc>
          <w:tcPr>
            <w:tcW w:w="597" w:type="pct"/>
          </w:tcPr>
          <w:p w14:paraId="2B247710" w14:textId="77777777" w:rsidR="004E7CA8" w:rsidRPr="00220AC6" w:rsidRDefault="004E7CA8" w:rsidP="00BA50B5">
            <w:pPr>
              <w:jc w:val="center"/>
              <w:rPr>
                <w:rFonts w:ascii="Aptos" w:hAnsi="Aptos" w:cstheme="minorHAnsi"/>
                <w:b/>
                <w:sz w:val="24"/>
                <w:szCs w:val="24"/>
              </w:rPr>
            </w:pPr>
            <w:r w:rsidRPr="00220AC6">
              <w:rPr>
                <w:rFonts w:ascii="Aptos" w:hAnsi="Aptos" w:cstheme="minorHAnsi"/>
                <w:b/>
                <w:sz w:val="24"/>
                <w:szCs w:val="24"/>
              </w:rPr>
              <w:lastRenderedPageBreak/>
              <w:t>Oprogramowanie</w:t>
            </w:r>
          </w:p>
          <w:p w14:paraId="613EA095" w14:textId="4606CD53" w:rsidR="004E7CA8" w:rsidRPr="00220AC6" w:rsidRDefault="004E7CA8" w:rsidP="00BA50B5">
            <w:pPr>
              <w:jc w:val="center"/>
              <w:rPr>
                <w:rFonts w:ascii="Aptos" w:hAnsi="Aptos" w:cstheme="minorHAnsi"/>
                <w:b/>
                <w:sz w:val="24"/>
                <w:szCs w:val="24"/>
                <w:lang w:val="en-GB"/>
              </w:rPr>
            </w:pPr>
          </w:p>
        </w:tc>
        <w:tc>
          <w:tcPr>
            <w:tcW w:w="2848" w:type="pct"/>
          </w:tcPr>
          <w:p w14:paraId="5F477551" w14:textId="77777777" w:rsidR="004E7CA8" w:rsidRDefault="004E7CA8" w:rsidP="005A4796">
            <w:pPr>
              <w:rPr>
                <w:rFonts w:ascii="Aptos" w:hAnsi="Aptos"/>
                <w:b/>
                <w:sz w:val="24"/>
                <w:szCs w:val="24"/>
                <w:lang w:val="en-GB"/>
              </w:rPr>
            </w:pPr>
            <w:r w:rsidRPr="00220AC6">
              <w:rPr>
                <w:rFonts w:ascii="Aptos" w:hAnsi="Aptos"/>
                <w:b/>
                <w:sz w:val="24"/>
                <w:szCs w:val="24"/>
                <w:lang w:val="en-GB"/>
              </w:rPr>
              <w:t>Microsoft Office LTSC Professional Plus 2024 – EDU lub równoważne, licencja dożywotnia (e</w:t>
            </w:r>
            <w:r w:rsidRPr="00220AC6">
              <w:rPr>
                <w:rFonts w:ascii="Cambria Math" w:hAnsi="Cambria Math" w:cs="Cambria Math"/>
                <w:b/>
                <w:sz w:val="24"/>
                <w:szCs w:val="24"/>
                <w:lang w:val="en-GB"/>
              </w:rPr>
              <w:t>‑</w:t>
            </w:r>
            <w:r w:rsidRPr="00220AC6">
              <w:rPr>
                <w:rFonts w:ascii="Aptos" w:hAnsi="Aptos"/>
                <w:b/>
                <w:sz w:val="24"/>
                <w:szCs w:val="24"/>
                <w:lang w:val="en-GB"/>
              </w:rPr>
              <w:t xml:space="preserve">delivery), </w:t>
            </w:r>
          </w:p>
          <w:p w14:paraId="268E2DC9" w14:textId="3A1134AD" w:rsidR="004E7CA8" w:rsidRPr="0003524D" w:rsidRDefault="004E7CA8" w:rsidP="0003524D">
            <w:pPr>
              <w:rPr>
                <w:rFonts w:ascii="Aptos" w:hAnsi="Aptos"/>
                <w:sz w:val="24"/>
                <w:szCs w:val="24"/>
                <w:lang w:val="en-GB"/>
              </w:rPr>
            </w:pPr>
            <w:r w:rsidRPr="00220AC6">
              <w:rPr>
                <w:rFonts w:ascii="Aptos" w:hAnsi="Aptos"/>
                <w:b/>
                <w:sz w:val="24"/>
                <w:szCs w:val="24"/>
                <w:lang w:val="en-GB"/>
              </w:rPr>
              <w:t>wersja PL</w:t>
            </w:r>
          </w:p>
        </w:tc>
        <w:tc>
          <w:tcPr>
            <w:tcW w:w="1549" w:type="pct"/>
            <w:gridSpan w:val="2"/>
          </w:tcPr>
          <w:p w14:paraId="6BDB7CDD" w14:textId="77777777" w:rsidR="004E7CA8" w:rsidRDefault="004E7CA8" w:rsidP="005A4796">
            <w:pPr>
              <w:rPr>
                <w:rFonts w:ascii="Aptos" w:hAnsi="Aptos"/>
                <w:b/>
                <w:sz w:val="24"/>
                <w:szCs w:val="24"/>
                <w:lang w:val="en-GB"/>
              </w:rPr>
            </w:pPr>
          </w:p>
          <w:p w14:paraId="10919171" w14:textId="77777777" w:rsidR="006A5468" w:rsidRDefault="006A5468" w:rsidP="006A5468">
            <w:pPr>
              <w:rPr>
                <w:rFonts w:ascii="Aptos" w:hAnsi="Aptos"/>
                <w:bCs/>
                <w:sz w:val="24"/>
                <w:szCs w:val="24"/>
                <w:lang w:val="en-GB"/>
              </w:rPr>
            </w:pPr>
            <w:r w:rsidRPr="006A5468">
              <w:rPr>
                <w:rFonts w:ascii="Aptos" w:hAnsi="Aptos"/>
                <w:bCs/>
                <w:sz w:val="24"/>
                <w:szCs w:val="24"/>
                <w:lang w:val="en-GB"/>
              </w:rPr>
              <w:t>………………………………………………………</w:t>
            </w:r>
          </w:p>
          <w:p w14:paraId="0559D36F" w14:textId="77777777" w:rsidR="006A5468" w:rsidRDefault="006A5468" w:rsidP="006A5468">
            <w:pPr>
              <w:rPr>
                <w:rFonts w:ascii="Aptos" w:hAnsi="Aptos"/>
                <w:b/>
                <w:bCs/>
                <w:sz w:val="24"/>
                <w:szCs w:val="24"/>
                <w:lang w:val="en-GB"/>
              </w:rPr>
            </w:pPr>
          </w:p>
          <w:p w14:paraId="3F800480" w14:textId="2D3978F8" w:rsidR="006A5468" w:rsidRDefault="006A5468" w:rsidP="006A5468">
            <w:pPr>
              <w:rPr>
                <w:rFonts w:ascii="Aptos" w:hAnsi="Aptos"/>
                <w:b/>
                <w:bCs/>
                <w:sz w:val="24"/>
                <w:szCs w:val="24"/>
                <w:lang w:val="en-GB"/>
              </w:rPr>
            </w:pPr>
            <w:r w:rsidRPr="006A5468">
              <w:rPr>
                <w:rFonts w:ascii="Aptos" w:hAnsi="Aptos"/>
                <w:bCs/>
                <w:sz w:val="24"/>
                <w:szCs w:val="24"/>
                <w:lang w:val="en-GB"/>
              </w:rPr>
              <w:t>……………………………………………………</w:t>
            </w:r>
          </w:p>
          <w:p w14:paraId="2E6C65F2" w14:textId="6210F47B" w:rsidR="004E7CA8" w:rsidRPr="00220AC6" w:rsidRDefault="004E7CA8" w:rsidP="006A5468">
            <w:pPr>
              <w:rPr>
                <w:rFonts w:ascii="Aptos" w:hAnsi="Aptos"/>
                <w:b/>
                <w:sz w:val="24"/>
                <w:szCs w:val="24"/>
                <w:lang w:val="en-GB"/>
              </w:rPr>
            </w:pPr>
            <w:r>
              <w:rPr>
                <w:rFonts w:ascii="Aptos" w:hAnsi="Aptos"/>
                <w:b/>
                <w:sz w:val="24"/>
                <w:szCs w:val="24"/>
                <w:lang w:val="en-GB"/>
              </w:rPr>
              <w:t>Nazwa i wersja oprogramowania:</w:t>
            </w:r>
          </w:p>
        </w:tc>
      </w:tr>
      <w:tr w:rsidR="004E7CA8" w:rsidRPr="00220AC6" w14:paraId="7D058332" w14:textId="0F8FB73B" w:rsidTr="006A5468">
        <w:trPr>
          <w:gridAfter w:val="1"/>
          <w:wAfter w:w="6" w:type="pct"/>
          <w:trHeight w:val="642"/>
        </w:trPr>
        <w:tc>
          <w:tcPr>
            <w:tcW w:w="597" w:type="pct"/>
          </w:tcPr>
          <w:p w14:paraId="1B98395D" w14:textId="18E0FD71" w:rsidR="004E7CA8" w:rsidRPr="00220AC6" w:rsidRDefault="004E7CA8" w:rsidP="005A4796">
            <w:pPr>
              <w:jc w:val="center"/>
              <w:rPr>
                <w:rFonts w:ascii="Aptos" w:hAnsi="Aptos" w:cstheme="minorHAnsi"/>
                <w:b/>
                <w:sz w:val="24"/>
                <w:szCs w:val="24"/>
                <w:lang w:val="en-GB"/>
              </w:rPr>
            </w:pPr>
            <w:r w:rsidRPr="00220AC6">
              <w:rPr>
                <w:rFonts w:ascii="Aptos" w:hAnsi="Aptos"/>
                <w:sz w:val="24"/>
                <w:szCs w:val="24"/>
              </w:rPr>
              <w:t>Wersja językowa</w:t>
            </w:r>
          </w:p>
        </w:tc>
        <w:tc>
          <w:tcPr>
            <w:tcW w:w="2848" w:type="pct"/>
          </w:tcPr>
          <w:p w14:paraId="0B24D89B" w14:textId="0A678FBA" w:rsidR="004E7CA8" w:rsidRPr="00220AC6" w:rsidRDefault="004E7CA8" w:rsidP="005A4796">
            <w:pPr>
              <w:tabs>
                <w:tab w:val="left" w:pos="7395"/>
              </w:tabs>
              <w:rPr>
                <w:rFonts w:ascii="Aptos" w:hAnsi="Aptos" w:cstheme="minorHAnsi"/>
                <w:sz w:val="24"/>
                <w:szCs w:val="24"/>
              </w:rPr>
            </w:pPr>
            <w:r w:rsidRPr="00220AC6">
              <w:rPr>
                <w:rFonts w:ascii="Aptos" w:hAnsi="Aptos"/>
                <w:sz w:val="24"/>
                <w:szCs w:val="24"/>
              </w:rPr>
              <w:t>Polska (pl</w:t>
            </w:r>
            <w:r w:rsidRPr="00220AC6">
              <w:rPr>
                <w:rFonts w:ascii="Cambria Math" w:hAnsi="Cambria Math" w:cs="Cambria Math"/>
                <w:sz w:val="24"/>
                <w:szCs w:val="24"/>
              </w:rPr>
              <w:t>‑</w:t>
            </w:r>
            <w:r w:rsidRPr="00220AC6">
              <w:rPr>
                <w:rFonts w:ascii="Aptos" w:hAnsi="Aptos"/>
                <w:sz w:val="24"/>
                <w:szCs w:val="24"/>
              </w:rPr>
              <w:t>PL), pe</w:t>
            </w:r>
            <w:r w:rsidRPr="00220AC6">
              <w:rPr>
                <w:rFonts w:ascii="Aptos" w:hAnsi="Aptos" w:cs="Arial Narrow"/>
                <w:sz w:val="24"/>
                <w:szCs w:val="24"/>
              </w:rPr>
              <w:t>ł</w:t>
            </w:r>
            <w:r w:rsidRPr="00220AC6">
              <w:rPr>
                <w:rFonts w:ascii="Aptos" w:hAnsi="Aptos"/>
                <w:sz w:val="24"/>
                <w:szCs w:val="24"/>
              </w:rPr>
              <w:t>na lokalizacja interfejsu + narz</w:t>
            </w:r>
            <w:r w:rsidRPr="00220AC6">
              <w:rPr>
                <w:rFonts w:ascii="Aptos" w:hAnsi="Aptos" w:cs="Arial Narrow"/>
                <w:sz w:val="24"/>
                <w:szCs w:val="24"/>
              </w:rPr>
              <w:t>ę</w:t>
            </w:r>
            <w:r w:rsidRPr="00220AC6">
              <w:rPr>
                <w:rFonts w:ascii="Aptos" w:hAnsi="Aptos"/>
                <w:sz w:val="24"/>
                <w:szCs w:val="24"/>
              </w:rPr>
              <w:t>dzia sprawdzaj</w:t>
            </w:r>
            <w:r w:rsidRPr="00220AC6">
              <w:rPr>
                <w:rFonts w:ascii="Aptos" w:hAnsi="Aptos" w:cs="Arial Narrow"/>
                <w:sz w:val="24"/>
                <w:szCs w:val="24"/>
              </w:rPr>
              <w:t>ą</w:t>
            </w:r>
            <w:r w:rsidRPr="00220AC6">
              <w:rPr>
                <w:rFonts w:ascii="Aptos" w:hAnsi="Aptos"/>
                <w:sz w:val="24"/>
                <w:szCs w:val="24"/>
              </w:rPr>
              <w:t>ce.</w:t>
            </w:r>
          </w:p>
        </w:tc>
        <w:tc>
          <w:tcPr>
            <w:tcW w:w="1549" w:type="pct"/>
            <w:gridSpan w:val="2"/>
          </w:tcPr>
          <w:p w14:paraId="2CA499D0" w14:textId="77777777" w:rsidR="004E7CA8" w:rsidRPr="009A4169" w:rsidRDefault="004E7CA8" w:rsidP="004E7CA8">
            <w:pPr>
              <w:widowControl w:val="0"/>
              <w:rPr>
                <w:rFonts w:ascii="Aptos" w:hAnsi="Aptos" w:cstheme="minorHAnsi"/>
                <w:sz w:val="24"/>
                <w:szCs w:val="24"/>
              </w:rPr>
            </w:pPr>
            <w:r w:rsidRPr="009A4169">
              <w:rPr>
                <w:rFonts w:ascii="Aptos" w:hAnsi="Aptos" w:cstheme="minorHAnsi"/>
                <w:sz w:val="24"/>
                <w:szCs w:val="24"/>
              </w:rPr>
              <w:t>spełnia/nie spełnia*</w:t>
            </w:r>
          </w:p>
          <w:p w14:paraId="1774FC65" w14:textId="77777777" w:rsidR="004E7CA8" w:rsidRPr="00220AC6" w:rsidRDefault="004E7CA8" w:rsidP="005A4796">
            <w:pPr>
              <w:tabs>
                <w:tab w:val="left" w:pos="7395"/>
              </w:tabs>
              <w:rPr>
                <w:rFonts w:ascii="Aptos" w:hAnsi="Aptos"/>
                <w:sz w:val="24"/>
                <w:szCs w:val="24"/>
              </w:rPr>
            </w:pPr>
          </w:p>
        </w:tc>
      </w:tr>
      <w:tr w:rsidR="004E7CA8" w:rsidRPr="00220AC6" w14:paraId="3C1C903D" w14:textId="7E037DBD" w:rsidTr="006A5468">
        <w:trPr>
          <w:gridAfter w:val="1"/>
          <w:wAfter w:w="6" w:type="pct"/>
          <w:trHeight w:val="301"/>
        </w:trPr>
        <w:tc>
          <w:tcPr>
            <w:tcW w:w="597" w:type="pct"/>
          </w:tcPr>
          <w:p w14:paraId="57871644" w14:textId="0264C143" w:rsidR="004E7CA8" w:rsidRPr="00220AC6" w:rsidRDefault="004E7CA8" w:rsidP="005A4796">
            <w:pPr>
              <w:jc w:val="center"/>
              <w:rPr>
                <w:rFonts w:ascii="Aptos" w:hAnsi="Aptos" w:cstheme="minorHAnsi"/>
                <w:b/>
                <w:sz w:val="24"/>
                <w:szCs w:val="24"/>
                <w:lang w:val="en-GB"/>
              </w:rPr>
            </w:pPr>
            <w:r w:rsidRPr="00220AC6">
              <w:rPr>
                <w:rFonts w:ascii="Aptos" w:hAnsi="Aptos"/>
                <w:sz w:val="24"/>
                <w:szCs w:val="24"/>
              </w:rPr>
              <w:t>Model licencji</w:t>
            </w:r>
          </w:p>
        </w:tc>
        <w:tc>
          <w:tcPr>
            <w:tcW w:w="2848" w:type="pct"/>
          </w:tcPr>
          <w:p w14:paraId="69556FF9" w14:textId="4F43EEBF" w:rsidR="004E7CA8" w:rsidRPr="00220AC6" w:rsidRDefault="004E7CA8" w:rsidP="005A4796">
            <w:pPr>
              <w:tabs>
                <w:tab w:val="left" w:pos="7395"/>
              </w:tabs>
              <w:rPr>
                <w:rFonts w:ascii="Aptos" w:hAnsi="Aptos" w:cstheme="minorHAnsi"/>
                <w:bCs/>
                <w:sz w:val="24"/>
                <w:szCs w:val="24"/>
              </w:rPr>
            </w:pPr>
            <w:r w:rsidRPr="00220AC6">
              <w:rPr>
                <w:rFonts w:ascii="Aptos" w:hAnsi="Aptos"/>
                <w:sz w:val="24"/>
                <w:szCs w:val="24"/>
              </w:rPr>
              <w:t>Edukacyjna (academic), dożywotnia (perpetual), licencja urządzeniowa (per</w:t>
            </w:r>
            <w:r w:rsidRPr="00220AC6">
              <w:rPr>
                <w:rFonts w:ascii="Cambria Math" w:hAnsi="Cambria Math" w:cs="Cambria Math"/>
                <w:sz w:val="24"/>
                <w:szCs w:val="24"/>
              </w:rPr>
              <w:t>‑</w:t>
            </w:r>
            <w:r w:rsidRPr="00220AC6">
              <w:rPr>
                <w:rFonts w:ascii="Aptos" w:hAnsi="Aptos"/>
                <w:sz w:val="24"/>
                <w:szCs w:val="24"/>
              </w:rPr>
              <w:t>device).</w:t>
            </w:r>
          </w:p>
        </w:tc>
        <w:tc>
          <w:tcPr>
            <w:tcW w:w="1549" w:type="pct"/>
            <w:gridSpan w:val="2"/>
          </w:tcPr>
          <w:p w14:paraId="66FBADB3" w14:textId="201E9789" w:rsidR="004E7CA8" w:rsidRPr="00220AC6" w:rsidRDefault="006A5468" w:rsidP="005A4796">
            <w:pPr>
              <w:tabs>
                <w:tab w:val="left" w:pos="7395"/>
              </w:tabs>
              <w:rPr>
                <w:rFonts w:ascii="Aptos" w:hAnsi="Aptos"/>
                <w:sz w:val="24"/>
                <w:szCs w:val="24"/>
              </w:rPr>
            </w:pPr>
            <w:r w:rsidRPr="009A4169">
              <w:rPr>
                <w:rFonts w:ascii="Aptos" w:hAnsi="Aptos" w:cstheme="minorHAnsi"/>
                <w:sz w:val="24"/>
                <w:szCs w:val="24"/>
              </w:rPr>
              <w:t>spełnia/nie spełnia*</w:t>
            </w:r>
          </w:p>
        </w:tc>
      </w:tr>
      <w:tr w:rsidR="00EB3879" w:rsidRPr="00220AC6" w14:paraId="371E75BB" w14:textId="77777777" w:rsidTr="006A5468">
        <w:trPr>
          <w:gridAfter w:val="1"/>
          <w:wAfter w:w="6" w:type="pct"/>
          <w:trHeight w:val="301"/>
        </w:trPr>
        <w:tc>
          <w:tcPr>
            <w:tcW w:w="597" w:type="pct"/>
          </w:tcPr>
          <w:p w14:paraId="0EE4B8C0" w14:textId="77777777" w:rsidR="00EB3879" w:rsidRPr="00220AC6" w:rsidRDefault="00EB3879" w:rsidP="005A4796">
            <w:pPr>
              <w:jc w:val="center"/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2848" w:type="pct"/>
          </w:tcPr>
          <w:p w14:paraId="7AC62DF5" w14:textId="77777777" w:rsidR="00EB3879" w:rsidRPr="00EB3879" w:rsidRDefault="00EB3879" w:rsidP="00EB3879">
            <w:pPr>
              <w:tabs>
                <w:tab w:val="left" w:pos="7395"/>
              </w:tabs>
              <w:rPr>
                <w:rFonts w:ascii="Aptos" w:hAnsi="Aptos"/>
                <w:sz w:val="24"/>
                <w:szCs w:val="24"/>
              </w:rPr>
            </w:pPr>
            <w:r w:rsidRPr="00EB3879">
              <w:rPr>
                <w:rFonts w:ascii="Aptos" w:hAnsi="Aptos"/>
                <w:sz w:val="24"/>
                <w:szCs w:val="24"/>
              </w:rPr>
              <w:t xml:space="preserve">Wykonawca zobowiązany jest dostarczyć licencje w wersji najnowszej wprowadzonej do obrotu na terytorium Rzeczypospolitej Polskiej. </w:t>
            </w:r>
          </w:p>
          <w:p w14:paraId="77906022" w14:textId="77777777" w:rsidR="00EB3879" w:rsidRPr="00220AC6" w:rsidRDefault="00EB3879" w:rsidP="005A4796">
            <w:pPr>
              <w:tabs>
                <w:tab w:val="left" w:pos="7395"/>
              </w:tabs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1549" w:type="pct"/>
            <w:gridSpan w:val="2"/>
          </w:tcPr>
          <w:p w14:paraId="78C4F601" w14:textId="3B3BD7AD" w:rsidR="00EB3879" w:rsidRPr="009A4169" w:rsidRDefault="00EB3879" w:rsidP="005A4796">
            <w:pPr>
              <w:tabs>
                <w:tab w:val="left" w:pos="7395"/>
              </w:tabs>
              <w:rPr>
                <w:rFonts w:ascii="Aptos" w:hAnsi="Aptos" w:cstheme="minorHAnsi"/>
                <w:sz w:val="24"/>
                <w:szCs w:val="24"/>
              </w:rPr>
            </w:pPr>
            <w:r w:rsidRPr="009A4169">
              <w:rPr>
                <w:rFonts w:ascii="Aptos" w:hAnsi="Aptos" w:cstheme="minorHAnsi"/>
                <w:sz w:val="24"/>
                <w:szCs w:val="24"/>
              </w:rPr>
              <w:t>spełnia/nie spełnia*</w:t>
            </w:r>
          </w:p>
        </w:tc>
      </w:tr>
      <w:tr w:rsidR="00900AB3" w:rsidRPr="00220AC6" w14:paraId="6E1A3D05" w14:textId="77777777" w:rsidTr="006A5468">
        <w:trPr>
          <w:gridAfter w:val="1"/>
          <w:wAfter w:w="6" w:type="pct"/>
          <w:trHeight w:val="301"/>
        </w:trPr>
        <w:tc>
          <w:tcPr>
            <w:tcW w:w="597" w:type="pct"/>
          </w:tcPr>
          <w:p w14:paraId="0926B366" w14:textId="77777777" w:rsidR="00900AB3" w:rsidRPr="00220AC6" w:rsidRDefault="00900AB3" w:rsidP="005A4796">
            <w:pPr>
              <w:jc w:val="center"/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2848" w:type="pct"/>
          </w:tcPr>
          <w:p w14:paraId="6A42D4FD" w14:textId="77777777" w:rsidR="00900AB3" w:rsidRPr="00900AB3" w:rsidRDefault="00900AB3" w:rsidP="00900AB3">
            <w:pPr>
              <w:tabs>
                <w:tab w:val="left" w:pos="7395"/>
              </w:tabs>
              <w:rPr>
                <w:rFonts w:ascii="Aptos" w:hAnsi="Aptos"/>
                <w:sz w:val="24"/>
                <w:szCs w:val="24"/>
              </w:rPr>
            </w:pPr>
            <w:r w:rsidRPr="00900AB3">
              <w:rPr>
                <w:rFonts w:ascii="Aptos" w:hAnsi="Aptos"/>
                <w:sz w:val="24"/>
                <w:szCs w:val="24"/>
              </w:rPr>
              <w:t xml:space="preserve">Wykonawca wraz z dostawą licencji zobowiązany jest do dostawy wszelkich elementów, w tym elementów dołączanych przez producenta licencji, niezbędnych do uruchomienia i korzystania w pełni z licencji. </w:t>
            </w:r>
          </w:p>
          <w:p w14:paraId="2CBCF6F2" w14:textId="77777777" w:rsidR="00900AB3" w:rsidRPr="00EB3879" w:rsidRDefault="00900AB3" w:rsidP="00EB3879">
            <w:pPr>
              <w:tabs>
                <w:tab w:val="left" w:pos="7395"/>
              </w:tabs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1549" w:type="pct"/>
            <w:gridSpan w:val="2"/>
          </w:tcPr>
          <w:p w14:paraId="685A5FCD" w14:textId="629351C2" w:rsidR="00900AB3" w:rsidRPr="009A4169" w:rsidRDefault="00900AB3" w:rsidP="005A4796">
            <w:pPr>
              <w:tabs>
                <w:tab w:val="left" w:pos="7395"/>
              </w:tabs>
              <w:rPr>
                <w:rFonts w:ascii="Aptos" w:hAnsi="Aptos" w:cstheme="minorHAnsi"/>
                <w:sz w:val="24"/>
                <w:szCs w:val="24"/>
              </w:rPr>
            </w:pPr>
            <w:r w:rsidRPr="009A4169">
              <w:rPr>
                <w:rFonts w:ascii="Aptos" w:hAnsi="Aptos" w:cstheme="minorHAnsi"/>
                <w:sz w:val="24"/>
                <w:szCs w:val="24"/>
              </w:rPr>
              <w:t>spełnia/nie spełnia*</w:t>
            </w:r>
          </w:p>
        </w:tc>
      </w:tr>
      <w:tr w:rsidR="004E7CA8" w:rsidRPr="00220AC6" w14:paraId="7E0DF2B8" w14:textId="6043978C" w:rsidTr="006A5468">
        <w:trPr>
          <w:gridAfter w:val="1"/>
          <w:wAfter w:w="6" w:type="pct"/>
          <w:trHeight w:val="301"/>
        </w:trPr>
        <w:tc>
          <w:tcPr>
            <w:tcW w:w="597" w:type="pct"/>
          </w:tcPr>
          <w:p w14:paraId="43F27F70" w14:textId="77777777" w:rsidR="004E7CA8" w:rsidRPr="00220AC6" w:rsidRDefault="004E7CA8" w:rsidP="00220AC6">
            <w:pPr>
              <w:jc w:val="center"/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2848" w:type="pct"/>
          </w:tcPr>
          <w:p w14:paraId="3844CA78" w14:textId="77777777" w:rsidR="004E7CA8" w:rsidRPr="00220AC6" w:rsidRDefault="004E7CA8" w:rsidP="00220AC6">
            <w:pPr>
              <w:spacing w:after="200" w:line="276" w:lineRule="auto"/>
              <w:rPr>
                <w:rFonts w:ascii="Aptos" w:hAnsi="Aptos"/>
                <w:sz w:val="24"/>
                <w:szCs w:val="24"/>
              </w:rPr>
            </w:pPr>
            <w:r w:rsidRPr="00220AC6">
              <w:rPr>
                <w:rFonts w:ascii="Aptos" w:hAnsi="Aptos"/>
                <w:b/>
                <w:sz w:val="24"/>
                <w:szCs w:val="24"/>
              </w:rPr>
              <w:t>Zamawiający wymaga dostawy oprogramowania wyłącznie z oficjalnego kanału dystrybucji i z przypięciem do konta Zamawiającego</w:t>
            </w:r>
          </w:p>
          <w:p w14:paraId="490FCBE5" w14:textId="5FD52F6A" w:rsidR="004E7CA8" w:rsidRPr="00220AC6" w:rsidRDefault="004E7CA8" w:rsidP="00220AC6">
            <w:pPr>
              <w:rPr>
                <w:rFonts w:ascii="Aptos" w:hAnsi="Aptos"/>
                <w:sz w:val="24"/>
                <w:szCs w:val="24"/>
              </w:rPr>
            </w:pPr>
            <w:r w:rsidRPr="00220AC6">
              <w:rPr>
                <w:rFonts w:ascii="Aptos" w:hAnsi="Aptos"/>
                <w:sz w:val="24"/>
                <w:szCs w:val="24"/>
              </w:rPr>
              <w:t>Wszystkie licencje produktów muszą być nowe i nabyte wyłącznie przez oficjalne programy dystrybucyjne. Zamawiający nie akceptuje licencji używanych, odnowionych, transferowanych ani pochodzących z obiegu wtórnego.</w:t>
            </w:r>
          </w:p>
        </w:tc>
        <w:tc>
          <w:tcPr>
            <w:tcW w:w="1549" w:type="pct"/>
            <w:gridSpan w:val="2"/>
          </w:tcPr>
          <w:p w14:paraId="1C19C8CD" w14:textId="30FB1D57" w:rsidR="004E7CA8" w:rsidRPr="00220AC6" w:rsidRDefault="006A5468" w:rsidP="00220AC6">
            <w:pPr>
              <w:spacing w:after="200" w:line="276" w:lineRule="auto"/>
              <w:rPr>
                <w:rFonts w:ascii="Aptos" w:hAnsi="Aptos"/>
                <w:b/>
                <w:sz w:val="24"/>
                <w:szCs w:val="24"/>
              </w:rPr>
            </w:pPr>
            <w:r w:rsidRPr="009A4169">
              <w:rPr>
                <w:rFonts w:ascii="Aptos" w:hAnsi="Aptos" w:cstheme="minorHAnsi"/>
                <w:sz w:val="24"/>
                <w:szCs w:val="24"/>
              </w:rPr>
              <w:t>spełnia/nie spełnia*</w:t>
            </w:r>
          </w:p>
        </w:tc>
      </w:tr>
      <w:tr w:rsidR="004E7CA8" w:rsidRPr="00220AC6" w14:paraId="054503FF" w14:textId="24392C61" w:rsidTr="006A5468">
        <w:trPr>
          <w:gridAfter w:val="1"/>
          <w:wAfter w:w="6" w:type="pct"/>
          <w:trHeight w:val="301"/>
        </w:trPr>
        <w:tc>
          <w:tcPr>
            <w:tcW w:w="597" w:type="pct"/>
          </w:tcPr>
          <w:p w14:paraId="0B3CCC92" w14:textId="77777777" w:rsidR="004E7CA8" w:rsidRPr="00220AC6" w:rsidRDefault="004E7CA8" w:rsidP="00220AC6">
            <w:pPr>
              <w:jc w:val="center"/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2848" w:type="pct"/>
          </w:tcPr>
          <w:p w14:paraId="7684C7ED" w14:textId="77777777" w:rsidR="004E7CA8" w:rsidRPr="00220AC6" w:rsidRDefault="004E7CA8" w:rsidP="00220AC6">
            <w:pPr>
              <w:rPr>
                <w:rFonts w:ascii="Aptos" w:hAnsi="Aptos"/>
                <w:sz w:val="24"/>
                <w:szCs w:val="24"/>
              </w:rPr>
            </w:pPr>
            <w:r w:rsidRPr="00220AC6">
              <w:rPr>
                <w:rFonts w:ascii="Aptos" w:hAnsi="Aptos"/>
                <w:b/>
                <w:sz w:val="24"/>
                <w:szCs w:val="24"/>
              </w:rPr>
              <w:t>Przypięcie do konta (dzierżawy) Zamawiającego</w:t>
            </w:r>
          </w:p>
          <w:p w14:paraId="3680C652" w14:textId="7E516E24" w:rsidR="004E7CA8" w:rsidRPr="00220AC6" w:rsidRDefault="004E7CA8" w:rsidP="00220AC6">
            <w:pPr>
              <w:spacing w:after="200" w:line="276" w:lineRule="auto"/>
              <w:rPr>
                <w:rFonts w:ascii="Aptos" w:hAnsi="Aptos"/>
                <w:b/>
                <w:sz w:val="24"/>
                <w:szCs w:val="24"/>
              </w:rPr>
            </w:pPr>
            <w:r w:rsidRPr="00220AC6">
              <w:rPr>
                <w:rFonts w:ascii="Aptos" w:hAnsi="Aptos"/>
                <w:sz w:val="24"/>
                <w:szCs w:val="24"/>
              </w:rPr>
              <w:t>Wykonawca przypnie licencje do dzierżawy (tenant) Zamawiającego w Microsoft zapewniając pełną widoczność oraz zarządzanie licencjami w Microsoft 365 admin center</w:t>
            </w:r>
            <w:r>
              <w:rPr>
                <w:rFonts w:ascii="Aptos" w:hAnsi="Aptos"/>
                <w:sz w:val="24"/>
                <w:szCs w:val="24"/>
              </w:rPr>
              <w:t xml:space="preserve"> lub zgodnie z opisem równoważności. </w:t>
            </w:r>
            <w:r w:rsidRPr="00220AC6">
              <w:rPr>
                <w:rFonts w:ascii="Aptos" w:hAnsi="Aptos"/>
                <w:sz w:val="24"/>
                <w:szCs w:val="24"/>
              </w:rPr>
              <w:t>Dostawa kluczy lub kodów poza przypięciem do konta Zamawiającego jest niedopuszczalna</w:t>
            </w:r>
          </w:p>
        </w:tc>
        <w:tc>
          <w:tcPr>
            <w:tcW w:w="1549" w:type="pct"/>
            <w:gridSpan w:val="2"/>
          </w:tcPr>
          <w:p w14:paraId="406838CA" w14:textId="2CA16BD9" w:rsidR="004E7CA8" w:rsidRPr="00220AC6" w:rsidRDefault="006A5468" w:rsidP="00220AC6">
            <w:pPr>
              <w:rPr>
                <w:rFonts w:ascii="Aptos" w:hAnsi="Aptos"/>
                <w:b/>
                <w:sz w:val="24"/>
                <w:szCs w:val="24"/>
              </w:rPr>
            </w:pPr>
            <w:r w:rsidRPr="009A4169">
              <w:rPr>
                <w:rFonts w:ascii="Aptos" w:hAnsi="Aptos" w:cstheme="minorHAnsi"/>
                <w:sz w:val="24"/>
                <w:szCs w:val="24"/>
              </w:rPr>
              <w:t>spełnia/nie spełnia*</w:t>
            </w:r>
          </w:p>
        </w:tc>
      </w:tr>
      <w:tr w:rsidR="004E7CA8" w:rsidRPr="00220AC6" w14:paraId="51A7BDEE" w14:textId="5AA69F87" w:rsidTr="006A5468">
        <w:trPr>
          <w:gridAfter w:val="1"/>
          <w:wAfter w:w="6" w:type="pct"/>
          <w:trHeight w:val="301"/>
        </w:trPr>
        <w:tc>
          <w:tcPr>
            <w:tcW w:w="597" w:type="pct"/>
          </w:tcPr>
          <w:p w14:paraId="2EDA4546" w14:textId="77777777" w:rsidR="004E7CA8" w:rsidRPr="00220AC6" w:rsidRDefault="004E7CA8" w:rsidP="00220AC6">
            <w:pPr>
              <w:jc w:val="center"/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2848" w:type="pct"/>
          </w:tcPr>
          <w:p w14:paraId="02C89F06" w14:textId="091515A5" w:rsidR="004E7CA8" w:rsidRPr="00220AC6" w:rsidRDefault="004E7CA8" w:rsidP="00220AC6">
            <w:pPr>
              <w:rPr>
                <w:rFonts w:ascii="Aptos" w:hAnsi="Aptos"/>
                <w:sz w:val="24"/>
                <w:szCs w:val="24"/>
              </w:rPr>
            </w:pPr>
            <w:r w:rsidRPr="00220AC6">
              <w:rPr>
                <w:rFonts w:ascii="Aptos" w:hAnsi="Aptos"/>
                <w:b/>
                <w:sz w:val="24"/>
                <w:szCs w:val="24"/>
              </w:rPr>
              <w:t>Niedopuszczalność obiegu wtórnego</w:t>
            </w:r>
          </w:p>
          <w:p w14:paraId="6767E69D" w14:textId="77777777" w:rsidR="004E7CA8" w:rsidRDefault="004E7CA8" w:rsidP="00220AC6">
            <w:pPr>
              <w:rPr>
                <w:rFonts w:ascii="Aptos" w:hAnsi="Aptos"/>
                <w:sz w:val="24"/>
                <w:szCs w:val="24"/>
              </w:rPr>
            </w:pPr>
            <w:r w:rsidRPr="00220AC6">
              <w:rPr>
                <w:rFonts w:ascii="Aptos" w:hAnsi="Aptos"/>
                <w:sz w:val="24"/>
                <w:szCs w:val="24"/>
              </w:rPr>
              <w:t>Zamawiający nie akceptuje dostaw licencji z obiegu wtórnego (used/renewed/transferred), kluczy aktywacyjnych pochodzących z podmiotów nieuprawnionych ani przeniesień własności spoza oficjalnych programów Microsoft</w:t>
            </w:r>
            <w:r>
              <w:rPr>
                <w:rFonts w:ascii="Aptos" w:hAnsi="Aptos"/>
                <w:sz w:val="24"/>
                <w:szCs w:val="24"/>
              </w:rPr>
              <w:t xml:space="preserve"> lub równoważne. </w:t>
            </w:r>
            <w:r w:rsidRPr="00220AC6">
              <w:rPr>
                <w:rFonts w:ascii="Aptos" w:hAnsi="Aptos"/>
                <w:sz w:val="24"/>
                <w:szCs w:val="24"/>
              </w:rPr>
              <w:t>Stwierdzone naruszenie skutkuje odrzuceniem dostawy i obowiązkiem niezwłocznej wymiany na licencje nowe z kanału oficjalnego.</w:t>
            </w:r>
          </w:p>
          <w:p w14:paraId="6156A762" w14:textId="77777777" w:rsidR="004E7CA8" w:rsidRDefault="004E7CA8" w:rsidP="00220AC6">
            <w:pPr>
              <w:rPr>
                <w:rFonts w:ascii="Aptos" w:hAnsi="Aptos"/>
                <w:sz w:val="24"/>
                <w:szCs w:val="24"/>
              </w:rPr>
            </w:pPr>
          </w:p>
          <w:p w14:paraId="06A060A1" w14:textId="050914BB" w:rsidR="004E7CA8" w:rsidRPr="00220AC6" w:rsidRDefault="004E7CA8" w:rsidP="00AC1802">
            <w:pPr>
              <w:rPr>
                <w:rFonts w:ascii="Aptos" w:hAnsi="Aptos"/>
                <w:sz w:val="24"/>
                <w:szCs w:val="24"/>
              </w:rPr>
            </w:pPr>
            <w:r>
              <w:rPr>
                <w:rFonts w:ascii="Aptos" w:hAnsi="Aptos"/>
                <w:sz w:val="24"/>
                <w:szCs w:val="24"/>
              </w:rPr>
              <w:t>Z</w:t>
            </w:r>
            <w:r w:rsidRPr="00AC1802">
              <w:rPr>
                <w:rFonts w:ascii="Aptos" w:hAnsi="Aptos"/>
                <w:sz w:val="24"/>
                <w:szCs w:val="24"/>
              </w:rPr>
              <w:t>amawiający</w:t>
            </w:r>
            <w:r>
              <w:rPr>
                <w:rFonts w:ascii="Aptos" w:hAnsi="Aptos"/>
                <w:sz w:val="24"/>
                <w:szCs w:val="24"/>
              </w:rPr>
              <w:t xml:space="preserve"> nie</w:t>
            </w:r>
            <w:r w:rsidRPr="00AC1802">
              <w:rPr>
                <w:rFonts w:ascii="Aptos" w:hAnsi="Aptos"/>
                <w:sz w:val="24"/>
                <w:szCs w:val="24"/>
              </w:rPr>
              <w:t xml:space="preserve"> dopuszcza dostaw</w:t>
            </w:r>
            <w:r>
              <w:rPr>
                <w:rFonts w:ascii="Aptos" w:hAnsi="Aptos"/>
                <w:sz w:val="24"/>
                <w:szCs w:val="24"/>
              </w:rPr>
              <w:t>y</w:t>
            </w:r>
            <w:r w:rsidRPr="00AC1802">
              <w:rPr>
                <w:rFonts w:ascii="Aptos" w:hAnsi="Aptos"/>
                <w:sz w:val="24"/>
                <w:szCs w:val="24"/>
              </w:rPr>
              <w:t xml:space="preserve"> oprogramowania w postaci licencji z wolnego rynku,</w:t>
            </w:r>
            <w:r>
              <w:rPr>
                <w:rFonts w:ascii="Aptos" w:hAnsi="Aptos"/>
                <w:sz w:val="24"/>
                <w:szCs w:val="24"/>
              </w:rPr>
              <w:t xml:space="preserve"> </w:t>
            </w:r>
            <w:r w:rsidRPr="00AC1802">
              <w:rPr>
                <w:rFonts w:ascii="Aptos" w:hAnsi="Aptos"/>
                <w:sz w:val="24"/>
                <w:szCs w:val="24"/>
              </w:rPr>
              <w:t>wobec których doszło do wyczerpania prawa producenta do zezwalania na dalszy obrót</w:t>
            </w:r>
            <w:r>
              <w:rPr>
                <w:rFonts w:ascii="Aptos" w:hAnsi="Aptos"/>
                <w:sz w:val="24"/>
                <w:szCs w:val="24"/>
              </w:rPr>
              <w:t xml:space="preserve"> </w:t>
            </w:r>
            <w:r w:rsidRPr="00AC1802">
              <w:rPr>
                <w:rFonts w:ascii="Aptos" w:hAnsi="Aptos"/>
                <w:sz w:val="24"/>
                <w:szCs w:val="24"/>
              </w:rPr>
              <w:t>produktem po wprowadzeniu do obrotu oryginału albo egzemplarza produktu na terytorium</w:t>
            </w:r>
            <w:r>
              <w:rPr>
                <w:rFonts w:ascii="Aptos" w:hAnsi="Aptos"/>
                <w:sz w:val="24"/>
                <w:szCs w:val="24"/>
              </w:rPr>
              <w:t xml:space="preserve"> </w:t>
            </w:r>
            <w:r w:rsidRPr="00AC1802">
              <w:rPr>
                <w:rFonts w:ascii="Aptos" w:hAnsi="Aptos"/>
                <w:sz w:val="24"/>
                <w:szCs w:val="24"/>
              </w:rPr>
              <w:t>Europejskiego Obszaru Gospodarczego</w:t>
            </w:r>
            <w:r>
              <w:rPr>
                <w:rFonts w:ascii="Aptos" w:hAnsi="Aptos"/>
                <w:sz w:val="24"/>
                <w:szCs w:val="24"/>
              </w:rPr>
              <w:t>.</w:t>
            </w:r>
          </w:p>
        </w:tc>
        <w:tc>
          <w:tcPr>
            <w:tcW w:w="1549" w:type="pct"/>
            <w:gridSpan w:val="2"/>
          </w:tcPr>
          <w:p w14:paraId="4542D436" w14:textId="748CF4CB" w:rsidR="004E7CA8" w:rsidRPr="00220AC6" w:rsidRDefault="006A5468" w:rsidP="00220AC6">
            <w:pPr>
              <w:rPr>
                <w:rFonts w:ascii="Aptos" w:hAnsi="Aptos"/>
                <w:b/>
                <w:sz w:val="24"/>
                <w:szCs w:val="24"/>
              </w:rPr>
            </w:pPr>
            <w:r w:rsidRPr="009A4169">
              <w:rPr>
                <w:rFonts w:ascii="Aptos" w:hAnsi="Aptos" w:cstheme="minorHAnsi"/>
                <w:sz w:val="24"/>
                <w:szCs w:val="24"/>
              </w:rPr>
              <w:t>spełnia/nie spełnia*</w:t>
            </w:r>
          </w:p>
        </w:tc>
      </w:tr>
      <w:tr w:rsidR="00610D03" w:rsidRPr="00220AC6" w14:paraId="59784FC0" w14:textId="2FD3F11D" w:rsidTr="006A5468">
        <w:trPr>
          <w:gridAfter w:val="1"/>
          <w:wAfter w:w="6" w:type="pct"/>
          <w:trHeight w:val="284"/>
        </w:trPr>
        <w:tc>
          <w:tcPr>
            <w:tcW w:w="597" w:type="pct"/>
          </w:tcPr>
          <w:p w14:paraId="01EA3E52" w14:textId="75045E48" w:rsidR="00610D03" w:rsidRPr="00220AC6" w:rsidRDefault="00610D03" w:rsidP="00610D03">
            <w:pPr>
              <w:jc w:val="center"/>
              <w:rPr>
                <w:rFonts w:ascii="Aptos" w:hAnsi="Aptos" w:cstheme="minorHAnsi"/>
                <w:b/>
                <w:sz w:val="24"/>
                <w:szCs w:val="24"/>
                <w:lang w:val="en-GB"/>
              </w:rPr>
            </w:pPr>
            <w:r w:rsidRPr="00220AC6">
              <w:rPr>
                <w:rFonts w:ascii="Aptos" w:hAnsi="Aptos" w:cstheme="minorHAnsi"/>
                <w:b/>
                <w:sz w:val="24"/>
                <w:szCs w:val="24"/>
                <w:lang w:val="en-GB"/>
              </w:rPr>
              <w:t>Równoważność</w:t>
            </w:r>
          </w:p>
        </w:tc>
        <w:tc>
          <w:tcPr>
            <w:tcW w:w="2848" w:type="pct"/>
          </w:tcPr>
          <w:p w14:paraId="029E0B33" w14:textId="77777777" w:rsidR="00610D03" w:rsidRPr="008B3FA7" w:rsidRDefault="00610D03" w:rsidP="00610D03">
            <w:pPr>
              <w:tabs>
                <w:tab w:val="left" w:pos="7395"/>
              </w:tabs>
              <w:rPr>
                <w:rFonts w:ascii="Aptos" w:hAnsi="Aptos" w:cstheme="minorHAnsi"/>
                <w:sz w:val="24"/>
                <w:szCs w:val="24"/>
              </w:rPr>
            </w:pPr>
            <w:r w:rsidRPr="008B3FA7">
              <w:rPr>
                <w:rFonts w:ascii="Aptos" w:hAnsi="Aptos" w:cstheme="minorHAnsi"/>
                <w:b/>
                <w:bCs/>
                <w:sz w:val="24"/>
                <w:szCs w:val="24"/>
              </w:rPr>
              <w:t>Cechy równoważnego Oprogramowania</w:t>
            </w:r>
          </w:p>
          <w:p w14:paraId="04205B5A" w14:textId="77777777" w:rsidR="00610D03" w:rsidRPr="008B3FA7" w:rsidRDefault="00610D03" w:rsidP="00610D03">
            <w:pPr>
              <w:tabs>
                <w:tab w:val="left" w:pos="7395"/>
              </w:tabs>
              <w:rPr>
                <w:rFonts w:ascii="Aptos" w:hAnsi="Aptos" w:cstheme="minorHAnsi"/>
                <w:sz w:val="24"/>
                <w:szCs w:val="24"/>
              </w:rPr>
            </w:pPr>
            <w:r w:rsidRPr="008B3FA7">
              <w:rPr>
                <w:rFonts w:ascii="Aptos" w:hAnsi="Aptos" w:cstheme="minorHAnsi"/>
                <w:sz w:val="24"/>
                <w:szCs w:val="24"/>
              </w:rPr>
              <w:t xml:space="preserve">W przypadku dostarczania oprogramowania równoważnego względem wyspecyfikowanego przez Zamawiającego w Opisie Przedmiotu Zamówienia, Wykonawca musi na swoją odpowiedzialność i swój koszt udowodnić, że dostarczane oprogramowanie spełnia wszystkie wymagania i warunki określone w OPZ, w szczególności: </w:t>
            </w:r>
          </w:p>
          <w:p w14:paraId="685D4B89" w14:textId="77777777" w:rsidR="00610D03" w:rsidRPr="008B3FA7" w:rsidRDefault="00610D03" w:rsidP="00610D03">
            <w:pPr>
              <w:tabs>
                <w:tab w:val="left" w:pos="7395"/>
              </w:tabs>
              <w:rPr>
                <w:rFonts w:ascii="Aptos" w:hAnsi="Aptos" w:cstheme="minorHAnsi"/>
                <w:sz w:val="24"/>
                <w:szCs w:val="24"/>
              </w:rPr>
            </w:pPr>
            <w:r w:rsidRPr="008B3FA7">
              <w:rPr>
                <w:rFonts w:ascii="Aptos" w:hAnsi="Aptos" w:cstheme="minorHAnsi"/>
                <w:sz w:val="24"/>
                <w:szCs w:val="24"/>
              </w:rPr>
              <w:t xml:space="preserve">1) </w:t>
            </w:r>
            <w:r w:rsidRPr="008B3FA7">
              <w:rPr>
                <w:rFonts w:ascii="Aptos" w:hAnsi="Aptos"/>
                <w:bCs/>
                <w:sz w:val="24"/>
                <w:szCs w:val="24"/>
              </w:rPr>
              <w:t xml:space="preserve"> warunk</w:t>
            </w:r>
            <w:r>
              <w:rPr>
                <w:rFonts w:ascii="Aptos" w:hAnsi="Aptos"/>
                <w:bCs/>
                <w:sz w:val="24"/>
                <w:szCs w:val="24"/>
              </w:rPr>
              <w:t>i</w:t>
            </w:r>
            <w:r w:rsidRPr="008B3FA7">
              <w:rPr>
                <w:rFonts w:ascii="Aptos" w:hAnsi="Aptos"/>
                <w:bCs/>
                <w:sz w:val="24"/>
                <w:szCs w:val="24"/>
              </w:rPr>
              <w:t xml:space="preserve"> licencji zaoferowanych produktów równoważnych w każdym aspekcie licencjonowania nie mogą być gorsze niż dla produktów wymienionych w </w:t>
            </w:r>
            <w:r>
              <w:rPr>
                <w:rFonts w:ascii="Aptos" w:hAnsi="Aptos"/>
                <w:bCs/>
                <w:sz w:val="24"/>
                <w:szCs w:val="24"/>
              </w:rPr>
              <w:t>zapytaniu ofertowym</w:t>
            </w:r>
            <w:r w:rsidRPr="008B3FA7">
              <w:rPr>
                <w:rFonts w:ascii="Aptos" w:hAnsi="Aptos"/>
                <w:bCs/>
                <w:sz w:val="24"/>
                <w:szCs w:val="24"/>
              </w:rPr>
              <w:t xml:space="preserve">;  </w:t>
            </w:r>
          </w:p>
          <w:p w14:paraId="5E27AE4F" w14:textId="77777777" w:rsidR="00610D03" w:rsidRPr="008B3FA7" w:rsidRDefault="00610D03" w:rsidP="00610D03">
            <w:pPr>
              <w:tabs>
                <w:tab w:val="left" w:pos="7395"/>
              </w:tabs>
              <w:rPr>
                <w:rFonts w:ascii="Aptos" w:hAnsi="Aptos"/>
                <w:bCs/>
                <w:sz w:val="24"/>
                <w:szCs w:val="24"/>
              </w:rPr>
            </w:pPr>
            <w:r w:rsidRPr="008B3FA7">
              <w:rPr>
                <w:rFonts w:ascii="Aptos" w:hAnsi="Aptos" w:cstheme="minorHAnsi"/>
                <w:sz w:val="24"/>
                <w:szCs w:val="24"/>
              </w:rPr>
              <w:t xml:space="preserve">2) </w:t>
            </w:r>
            <w:r w:rsidRPr="008B3FA7">
              <w:rPr>
                <w:rFonts w:ascii="Aptos" w:hAnsi="Aptos"/>
                <w:bCs/>
                <w:sz w:val="24"/>
                <w:szCs w:val="24"/>
              </w:rPr>
              <w:t xml:space="preserve"> funkcjonalności zaoferowanych produktów równoważnych, nie mogą być ograniczone i gorsze względem funkcjonalności produktów wymienionych  w </w:t>
            </w:r>
            <w:r>
              <w:rPr>
                <w:rFonts w:ascii="Aptos" w:hAnsi="Aptos"/>
                <w:bCs/>
                <w:sz w:val="24"/>
                <w:szCs w:val="24"/>
              </w:rPr>
              <w:t>zapytaniu ofertowym</w:t>
            </w:r>
            <w:r w:rsidRPr="008B3FA7">
              <w:rPr>
                <w:rFonts w:ascii="Aptos" w:hAnsi="Aptos"/>
                <w:bCs/>
                <w:sz w:val="24"/>
                <w:szCs w:val="24"/>
              </w:rPr>
              <w:t xml:space="preserve">;  </w:t>
            </w:r>
          </w:p>
          <w:p w14:paraId="3356FEAB" w14:textId="77777777" w:rsidR="00610D03" w:rsidRPr="008B3FA7" w:rsidRDefault="00610D03" w:rsidP="00610D03">
            <w:pPr>
              <w:tabs>
                <w:tab w:val="left" w:pos="7395"/>
              </w:tabs>
              <w:rPr>
                <w:rFonts w:ascii="Aptos" w:hAnsi="Aptos"/>
                <w:bCs/>
                <w:sz w:val="24"/>
                <w:szCs w:val="24"/>
              </w:rPr>
            </w:pPr>
            <w:r w:rsidRPr="008B3FA7">
              <w:rPr>
                <w:rFonts w:ascii="Aptos" w:hAnsi="Aptos"/>
                <w:bCs/>
                <w:sz w:val="24"/>
                <w:szCs w:val="24"/>
              </w:rPr>
              <w:t xml:space="preserve">3) </w:t>
            </w:r>
            <w:r w:rsidRPr="008B3FA7">
              <w:rPr>
                <w:rFonts w:ascii="Aptos" w:hAnsi="Aptos" w:cstheme="minorHAnsi"/>
                <w:sz w:val="24"/>
                <w:szCs w:val="24"/>
              </w:rPr>
              <w:t xml:space="preserve">wdrożenie i użytkowanie nie może wymagać dodatkowych kosztów Zamawiającego oprócz zaoferowanych licencji oprogramowania równoważnego </w:t>
            </w:r>
          </w:p>
          <w:p w14:paraId="2B74A42A" w14:textId="77777777" w:rsidR="00610D03" w:rsidRPr="008B3FA7" w:rsidRDefault="00610D03" w:rsidP="00610D03">
            <w:pPr>
              <w:tabs>
                <w:tab w:val="left" w:pos="7395"/>
              </w:tabs>
              <w:rPr>
                <w:rFonts w:ascii="Aptos" w:hAnsi="Aptos" w:cstheme="minorHAnsi"/>
                <w:sz w:val="24"/>
                <w:szCs w:val="24"/>
              </w:rPr>
            </w:pPr>
            <w:r w:rsidRPr="008B3FA7">
              <w:rPr>
                <w:rFonts w:ascii="Aptos" w:hAnsi="Aptos" w:cstheme="minorHAnsi"/>
                <w:sz w:val="24"/>
                <w:szCs w:val="24"/>
              </w:rPr>
              <w:t>3) musi posiadać funkcjonalnoś</w:t>
            </w:r>
            <w:r>
              <w:rPr>
                <w:rFonts w:ascii="Aptos" w:hAnsi="Aptos" w:cstheme="minorHAnsi"/>
                <w:sz w:val="24"/>
                <w:szCs w:val="24"/>
              </w:rPr>
              <w:t>ci właściwe dla</w:t>
            </w:r>
            <w:r w:rsidRPr="008B3FA7">
              <w:rPr>
                <w:rFonts w:ascii="Aptos" w:hAnsi="Aptos" w:cstheme="minorHAnsi"/>
                <w:sz w:val="24"/>
                <w:szCs w:val="24"/>
              </w:rPr>
              <w:t xml:space="preserve"> edytora tekstu Word, arkusza kalkulacyjnego Excel, programu do prezentacji PowerPoint oraz klienta poczty elektronicznej Outlook oraz funkcjonalność bazy danych Access </w:t>
            </w:r>
          </w:p>
          <w:p w14:paraId="34CAA205" w14:textId="77777777" w:rsidR="00610D03" w:rsidRPr="008B3FA7" w:rsidRDefault="00610D03" w:rsidP="00610D03">
            <w:pPr>
              <w:tabs>
                <w:tab w:val="left" w:pos="7395"/>
              </w:tabs>
              <w:rPr>
                <w:rFonts w:ascii="Aptos" w:hAnsi="Aptos" w:cstheme="minorHAnsi"/>
                <w:sz w:val="24"/>
                <w:szCs w:val="24"/>
              </w:rPr>
            </w:pPr>
            <w:r w:rsidRPr="008B3FA7">
              <w:rPr>
                <w:rFonts w:ascii="Aptos" w:hAnsi="Aptos" w:cstheme="minorHAnsi"/>
                <w:sz w:val="24"/>
                <w:szCs w:val="24"/>
              </w:rPr>
              <w:lastRenderedPageBreak/>
              <w:t xml:space="preserve">4) musi posiadać co najmniej takie same formaty plików oraz parametry techniczne co oprogramowanie Microsoft Office 2024, musi w pełni obsługiwać wszystkie dokumenty Zamawiającego bez utraty jakichkolwiek ich parametrów i cech użytkowych (arkusze kalkulacyjne zawierające makra i formularze, itp.) </w:t>
            </w:r>
          </w:p>
          <w:p w14:paraId="5CB66D96" w14:textId="55CB341F" w:rsidR="00610D03" w:rsidRPr="008B3FA7" w:rsidRDefault="00610D03" w:rsidP="00610D03">
            <w:pPr>
              <w:tabs>
                <w:tab w:val="left" w:pos="7395"/>
              </w:tabs>
              <w:rPr>
                <w:rFonts w:ascii="Aptos" w:hAnsi="Aptos" w:cstheme="minorHAnsi"/>
                <w:sz w:val="24"/>
                <w:szCs w:val="24"/>
              </w:rPr>
            </w:pPr>
            <w:r w:rsidRPr="008B3FA7">
              <w:rPr>
                <w:rFonts w:ascii="Aptos" w:hAnsi="Aptos" w:cstheme="minorHAnsi"/>
                <w:sz w:val="24"/>
                <w:szCs w:val="24"/>
              </w:rPr>
              <w:t xml:space="preserve">5) musi być kompatybilne i w sposób niezakłócony współpracować z oprogramowaniem </w:t>
            </w:r>
            <w:r w:rsidR="00187EF3" w:rsidRPr="00187EF3">
              <w:rPr>
                <w:rFonts w:ascii="Aptos" w:hAnsi="Aptos" w:cstheme="minorHAnsi"/>
                <w:sz w:val="24"/>
                <w:szCs w:val="24"/>
              </w:rPr>
              <w:t xml:space="preserve"> Microsoft Windows 10, Microsoft Windows 11, Microsoft Office 2019, Microsoft Office 2021 </w:t>
            </w:r>
            <w:r w:rsidRPr="008B3FA7">
              <w:rPr>
                <w:rFonts w:ascii="Aptos" w:hAnsi="Aptos" w:cstheme="minorHAnsi"/>
                <w:sz w:val="24"/>
                <w:szCs w:val="24"/>
              </w:rPr>
              <w:t>oraz sprzętem funkcjonującym u Zamawiającego: komputery PC, tablety z systemem operacyjnym Android)</w:t>
            </w:r>
          </w:p>
          <w:p w14:paraId="5D96F02D" w14:textId="77777777" w:rsidR="00610D03" w:rsidRPr="008B3FA7" w:rsidRDefault="00610D03" w:rsidP="00610D03">
            <w:pPr>
              <w:tabs>
                <w:tab w:val="left" w:pos="7395"/>
              </w:tabs>
              <w:rPr>
                <w:rFonts w:ascii="Aptos" w:hAnsi="Aptos" w:cstheme="minorHAnsi"/>
                <w:sz w:val="24"/>
                <w:szCs w:val="24"/>
              </w:rPr>
            </w:pPr>
            <w:r w:rsidRPr="008B3FA7">
              <w:rPr>
                <w:rFonts w:ascii="Aptos" w:hAnsi="Aptos" w:cstheme="minorHAnsi"/>
                <w:sz w:val="24"/>
                <w:szCs w:val="24"/>
              </w:rPr>
              <w:t xml:space="preserve">6) musi zapewnić możliwość kopiowania na wiele urządzeń przy wykorzystaniu jednego standardowego lub spersonizowanego obrazu przy użyciu jednego klucza licencyjnego </w:t>
            </w:r>
          </w:p>
          <w:p w14:paraId="0288E2A4" w14:textId="77777777" w:rsidR="00610D03" w:rsidRPr="008B3FA7" w:rsidRDefault="00610D03" w:rsidP="00610D03">
            <w:pPr>
              <w:tabs>
                <w:tab w:val="left" w:pos="7395"/>
              </w:tabs>
              <w:rPr>
                <w:rFonts w:ascii="Aptos" w:hAnsi="Aptos" w:cstheme="minorHAnsi"/>
                <w:sz w:val="24"/>
                <w:szCs w:val="24"/>
              </w:rPr>
            </w:pPr>
            <w:r w:rsidRPr="008B3FA7">
              <w:rPr>
                <w:rFonts w:ascii="Aptos" w:hAnsi="Aptos" w:cstheme="minorHAnsi"/>
                <w:sz w:val="24"/>
                <w:szCs w:val="24"/>
              </w:rPr>
              <w:t xml:space="preserve">7) dostarczone oprogramowanie musi pozwalać na swobodne przenoszenie między stacjami roboczymi (np. w przypadku wymiany sprzętu) </w:t>
            </w:r>
          </w:p>
          <w:p w14:paraId="586B5D75" w14:textId="77777777" w:rsidR="00610D03" w:rsidRPr="008B3FA7" w:rsidRDefault="00610D03" w:rsidP="00610D03">
            <w:pPr>
              <w:tabs>
                <w:tab w:val="left" w:pos="7395"/>
              </w:tabs>
              <w:rPr>
                <w:rFonts w:ascii="Aptos" w:hAnsi="Aptos" w:cstheme="minorHAnsi"/>
                <w:sz w:val="24"/>
                <w:szCs w:val="24"/>
              </w:rPr>
            </w:pPr>
            <w:r w:rsidRPr="008B3FA7">
              <w:rPr>
                <w:rFonts w:ascii="Aptos" w:hAnsi="Aptos" w:cstheme="minorHAnsi"/>
                <w:sz w:val="24"/>
                <w:szCs w:val="24"/>
              </w:rPr>
              <w:t xml:space="preserve">8) wszystkie komponenty oprogramowania muszą pochodzić od tego samego producenta, posiadać jednolity interfejs oraz ten sam jednolity sposób obsługi </w:t>
            </w:r>
          </w:p>
          <w:p w14:paraId="29ED2DF8" w14:textId="77777777" w:rsidR="00610D03" w:rsidRPr="008B3FA7" w:rsidRDefault="00610D03" w:rsidP="00610D03">
            <w:pPr>
              <w:tabs>
                <w:tab w:val="left" w:pos="7395"/>
              </w:tabs>
              <w:rPr>
                <w:rFonts w:ascii="Aptos" w:hAnsi="Aptos" w:cstheme="minorHAnsi"/>
                <w:sz w:val="24"/>
                <w:szCs w:val="24"/>
              </w:rPr>
            </w:pPr>
            <w:r w:rsidRPr="008B3FA7">
              <w:rPr>
                <w:rFonts w:ascii="Aptos" w:hAnsi="Aptos" w:cstheme="minorHAnsi"/>
                <w:sz w:val="24"/>
                <w:szCs w:val="24"/>
              </w:rPr>
              <w:t xml:space="preserve">9) musi zapewniać prawo do instalacji bezpłatnych aktualizacji udostępnionych przez producenta oprogramowania </w:t>
            </w:r>
          </w:p>
          <w:p w14:paraId="0B09531F" w14:textId="77777777" w:rsidR="00610D03" w:rsidRDefault="00610D03" w:rsidP="00610D03">
            <w:pPr>
              <w:tabs>
                <w:tab w:val="left" w:pos="7395"/>
              </w:tabs>
              <w:rPr>
                <w:rFonts w:ascii="Aptos" w:hAnsi="Aptos" w:cstheme="minorHAnsi"/>
                <w:sz w:val="24"/>
                <w:szCs w:val="24"/>
              </w:rPr>
            </w:pPr>
            <w:r w:rsidRPr="008B3FA7">
              <w:rPr>
                <w:rFonts w:ascii="Aptos" w:hAnsi="Aptos" w:cstheme="minorHAnsi"/>
                <w:sz w:val="24"/>
                <w:szCs w:val="24"/>
              </w:rPr>
              <w:t xml:space="preserve">10) posiadać interfejs w języku polskim </w:t>
            </w:r>
          </w:p>
          <w:p w14:paraId="7FC67F6F" w14:textId="77777777" w:rsidR="00610D03" w:rsidRPr="008B3FA7" w:rsidRDefault="00610D03" w:rsidP="00610D03">
            <w:pPr>
              <w:tabs>
                <w:tab w:val="left" w:pos="7395"/>
              </w:tabs>
              <w:rPr>
                <w:rFonts w:ascii="Aptos" w:hAnsi="Aptos" w:cstheme="minorHAnsi"/>
                <w:sz w:val="24"/>
                <w:szCs w:val="24"/>
              </w:rPr>
            </w:pPr>
            <w:r>
              <w:rPr>
                <w:rFonts w:ascii="Aptos" w:hAnsi="Aptos"/>
                <w:bCs/>
                <w:sz w:val="24"/>
                <w:szCs w:val="24"/>
              </w:rPr>
              <w:t xml:space="preserve">11) </w:t>
            </w:r>
            <w:r w:rsidRPr="008B3FA7">
              <w:rPr>
                <w:rFonts w:ascii="Aptos" w:hAnsi="Aptos"/>
                <w:bCs/>
                <w:sz w:val="24"/>
                <w:szCs w:val="24"/>
              </w:rPr>
              <w:t xml:space="preserve">zakres kompatybilności i współdziałania zaoferowanych produktów równoważnych ze sprzętem i oprogramowaniem funkcjonującym u zamawiającego, nie może być gorszy niż dla produktów wymienionych w </w:t>
            </w:r>
            <w:r>
              <w:rPr>
                <w:rFonts w:ascii="Aptos" w:hAnsi="Aptos"/>
                <w:bCs/>
                <w:sz w:val="24"/>
                <w:szCs w:val="24"/>
              </w:rPr>
              <w:t>zapytaniu ofertowym</w:t>
            </w:r>
            <w:r w:rsidRPr="008B3FA7">
              <w:rPr>
                <w:rFonts w:ascii="Aptos" w:hAnsi="Aptos"/>
                <w:bCs/>
                <w:sz w:val="24"/>
                <w:szCs w:val="24"/>
              </w:rPr>
              <w:t xml:space="preserve"> </w:t>
            </w:r>
          </w:p>
          <w:p w14:paraId="7D13C7D9" w14:textId="77777777" w:rsidR="00610D03" w:rsidRPr="008B3FA7" w:rsidRDefault="00610D03" w:rsidP="00610D03">
            <w:pPr>
              <w:pStyle w:val="Tekstpodstawowy"/>
              <w:numPr>
                <w:ilvl w:val="0"/>
                <w:numId w:val="19"/>
              </w:numPr>
              <w:spacing w:line="276" w:lineRule="auto"/>
              <w:jc w:val="left"/>
              <w:rPr>
                <w:rFonts w:ascii="Aptos" w:hAnsi="Aptos"/>
                <w:bCs/>
                <w:sz w:val="24"/>
                <w:szCs w:val="24"/>
              </w:rPr>
            </w:pPr>
            <w:r>
              <w:rPr>
                <w:rFonts w:ascii="Aptos" w:hAnsi="Aptos"/>
                <w:bCs/>
                <w:sz w:val="24"/>
                <w:szCs w:val="24"/>
              </w:rPr>
              <w:t xml:space="preserve">12) </w:t>
            </w:r>
            <w:r w:rsidRPr="008B3FA7">
              <w:rPr>
                <w:rFonts w:ascii="Aptos" w:hAnsi="Aptos"/>
                <w:bCs/>
                <w:sz w:val="24"/>
                <w:szCs w:val="24"/>
              </w:rPr>
              <w:t xml:space="preserve">poziom zakłóceń pracy środowiska systemowo-programowego zamawiającego spowodowanego wykorzystaniem zaoferowanych produktów równoważnych, nie może być większy niż w przypadku produktów wymienionych w </w:t>
            </w:r>
            <w:r>
              <w:rPr>
                <w:rFonts w:ascii="Aptos" w:hAnsi="Aptos"/>
                <w:bCs/>
                <w:sz w:val="24"/>
                <w:szCs w:val="24"/>
              </w:rPr>
              <w:t>zapytaniu ofertowym</w:t>
            </w:r>
            <w:r w:rsidRPr="008B3FA7">
              <w:rPr>
                <w:rFonts w:ascii="Aptos" w:hAnsi="Aptos"/>
                <w:bCs/>
                <w:sz w:val="24"/>
                <w:szCs w:val="24"/>
              </w:rPr>
              <w:t xml:space="preserve">; </w:t>
            </w:r>
          </w:p>
          <w:p w14:paraId="7AE6B9DA" w14:textId="77777777" w:rsidR="00610D03" w:rsidRDefault="00610D03" w:rsidP="00610D03">
            <w:pPr>
              <w:pStyle w:val="Tekstpodstawowy"/>
              <w:numPr>
                <w:ilvl w:val="0"/>
                <w:numId w:val="19"/>
              </w:numPr>
              <w:spacing w:line="276" w:lineRule="auto"/>
              <w:jc w:val="left"/>
              <w:rPr>
                <w:rFonts w:ascii="Aptos" w:hAnsi="Aptos"/>
                <w:bCs/>
                <w:sz w:val="24"/>
                <w:szCs w:val="24"/>
              </w:rPr>
            </w:pPr>
            <w:r>
              <w:rPr>
                <w:rFonts w:ascii="Aptos" w:hAnsi="Aptos"/>
                <w:bCs/>
                <w:sz w:val="24"/>
                <w:szCs w:val="24"/>
              </w:rPr>
              <w:lastRenderedPageBreak/>
              <w:t xml:space="preserve">13) </w:t>
            </w:r>
            <w:r w:rsidRPr="008B3FA7">
              <w:rPr>
                <w:rFonts w:ascii="Aptos" w:hAnsi="Aptos"/>
                <w:bCs/>
                <w:sz w:val="24"/>
                <w:szCs w:val="24"/>
              </w:rPr>
              <w:t>poziom współpracy zaoferowanych produktów równoważnych z systemami zamawiającego,  nie może być gorszy od tego, jaki zapewniają produkty wymienione w</w:t>
            </w:r>
            <w:r>
              <w:rPr>
                <w:rFonts w:ascii="Aptos" w:hAnsi="Aptos"/>
                <w:bCs/>
                <w:sz w:val="24"/>
                <w:szCs w:val="24"/>
              </w:rPr>
              <w:t xml:space="preserve"> zapytaniu ofertowym,</w:t>
            </w:r>
          </w:p>
          <w:p w14:paraId="1EF3F940" w14:textId="77DCCFB9" w:rsidR="00610D03" w:rsidRPr="008B3FA7" w:rsidRDefault="00610D03" w:rsidP="00610D03">
            <w:pPr>
              <w:pStyle w:val="Tekstpodstawowy"/>
              <w:numPr>
                <w:ilvl w:val="0"/>
                <w:numId w:val="19"/>
              </w:numPr>
              <w:spacing w:line="276" w:lineRule="auto"/>
              <w:jc w:val="left"/>
              <w:rPr>
                <w:rFonts w:ascii="Aptos" w:hAnsi="Aptos"/>
                <w:bCs/>
                <w:sz w:val="24"/>
                <w:szCs w:val="24"/>
              </w:rPr>
            </w:pPr>
            <w:r>
              <w:rPr>
                <w:rFonts w:ascii="Aptos" w:hAnsi="Aptos"/>
                <w:bCs/>
                <w:sz w:val="24"/>
                <w:szCs w:val="24"/>
              </w:rPr>
              <w:t>1</w:t>
            </w:r>
            <w:r w:rsidR="00C32184">
              <w:rPr>
                <w:rFonts w:ascii="Aptos" w:hAnsi="Aptos"/>
                <w:bCs/>
                <w:sz w:val="24"/>
                <w:szCs w:val="24"/>
              </w:rPr>
              <w:t>4</w:t>
            </w:r>
            <w:r>
              <w:rPr>
                <w:rFonts w:ascii="Aptos" w:hAnsi="Aptos"/>
                <w:bCs/>
                <w:sz w:val="24"/>
                <w:szCs w:val="24"/>
              </w:rPr>
              <w:t xml:space="preserve">) </w:t>
            </w:r>
            <w:r w:rsidRPr="008B3FA7">
              <w:rPr>
                <w:rFonts w:ascii="Aptos" w:hAnsi="Aptos"/>
                <w:bCs/>
                <w:sz w:val="24"/>
                <w:szCs w:val="24"/>
              </w:rPr>
              <w:t>warunk</w:t>
            </w:r>
            <w:r>
              <w:rPr>
                <w:rFonts w:ascii="Aptos" w:hAnsi="Aptos"/>
                <w:bCs/>
                <w:sz w:val="24"/>
                <w:szCs w:val="24"/>
              </w:rPr>
              <w:t xml:space="preserve">i </w:t>
            </w:r>
            <w:r w:rsidRPr="008B3FA7">
              <w:rPr>
                <w:rFonts w:ascii="Aptos" w:hAnsi="Aptos"/>
                <w:bCs/>
                <w:sz w:val="24"/>
                <w:szCs w:val="24"/>
              </w:rPr>
              <w:t>i zakres wsparcia zaoferowanych produktów równoważnych, nie mogą być gorsze niż dla produktów wymienionych w</w:t>
            </w:r>
            <w:r>
              <w:rPr>
                <w:rFonts w:ascii="Aptos" w:hAnsi="Aptos"/>
                <w:bCs/>
                <w:sz w:val="24"/>
                <w:szCs w:val="24"/>
              </w:rPr>
              <w:t xml:space="preserve"> zapytaniu ofertowym,</w:t>
            </w:r>
          </w:p>
          <w:p w14:paraId="10ADE186" w14:textId="1364AE5D" w:rsidR="00610D03" w:rsidRPr="008B3FA7" w:rsidRDefault="00610D03" w:rsidP="00610D03">
            <w:pPr>
              <w:pStyle w:val="Tekstpodstawowy"/>
              <w:numPr>
                <w:ilvl w:val="0"/>
                <w:numId w:val="19"/>
              </w:numPr>
              <w:spacing w:line="276" w:lineRule="auto"/>
              <w:jc w:val="left"/>
              <w:rPr>
                <w:rFonts w:ascii="Aptos" w:hAnsi="Aptos"/>
                <w:bCs/>
                <w:sz w:val="24"/>
                <w:szCs w:val="24"/>
              </w:rPr>
            </w:pPr>
            <w:r>
              <w:rPr>
                <w:rFonts w:ascii="Aptos" w:hAnsi="Aptos"/>
                <w:bCs/>
                <w:sz w:val="24"/>
                <w:szCs w:val="24"/>
              </w:rPr>
              <w:t>1</w:t>
            </w:r>
            <w:r w:rsidR="00C32184">
              <w:rPr>
                <w:rFonts w:ascii="Aptos" w:hAnsi="Aptos"/>
                <w:bCs/>
                <w:sz w:val="24"/>
                <w:szCs w:val="24"/>
              </w:rPr>
              <w:t>5</w:t>
            </w:r>
            <w:r>
              <w:rPr>
                <w:rFonts w:ascii="Aptos" w:hAnsi="Aptos"/>
                <w:bCs/>
                <w:sz w:val="24"/>
                <w:szCs w:val="24"/>
              </w:rPr>
              <w:t xml:space="preserve">) </w:t>
            </w:r>
            <w:r w:rsidRPr="008B3FA7">
              <w:rPr>
                <w:rFonts w:ascii="Aptos" w:hAnsi="Aptos"/>
                <w:bCs/>
                <w:sz w:val="24"/>
                <w:szCs w:val="24"/>
              </w:rPr>
              <w:t>obsług</w:t>
            </w:r>
            <w:r>
              <w:rPr>
                <w:rFonts w:ascii="Aptos" w:hAnsi="Aptos"/>
                <w:bCs/>
                <w:sz w:val="24"/>
                <w:szCs w:val="24"/>
              </w:rPr>
              <w:t>a</w:t>
            </w:r>
            <w:r w:rsidRPr="008B3FA7">
              <w:rPr>
                <w:rFonts w:ascii="Aptos" w:hAnsi="Aptos"/>
                <w:bCs/>
                <w:sz w:val="24"/>
                <w:szCs w:val="24"/>
              </w:rPr>
              <w:t xml:space="preserve"> przez zaoferowane produkty równoważne języków interfejsu, w ilości i rodzaju nie mniejszy</w:t>
            </w:r>
            <w:r>
              <w:rPr>
                <w:rFonts w:ascii="Aptos" w:hAnsi="Aptos"/>
                <w:bCs/>
                <w:sz w:val="24"/>
                <w:szCs w:val="24"/>
              </w:rPr>
              <w:t xml:space="preserve">m </w:t>
            </w:r>
            <w:r w:rsidRPr="008B3FA7">
              <w:rPr>
                <w:rFonts w:ascii="Aptos" w:hAnsi="Aptos"/>
                <w:bCs/>
                <w:sz w:val="24"/>
                <w:szCs w:val="24"/>
              </w:rPr>
              <w:t xml:space="preserve">niż oferują produkty wymienione w </w:t>
            </w:r>
            <w:r>
              <w:rPr>
                <w:rFonts w:ascii="Aptos" w:hAnsi="Aptos"/>
                <w:bCs/>
                <w:sz w:val="24"/>
                <w:szCs w:val="24"/>
              </w:rPr>
              <w:t>zapytaniu ofertowym</w:t>
            </w:r>
          </w:p>
          <w:p w14:paraId="79B1856A" w14:textId="77777777" w:rsidR="00610D03" w:rsidRPr="008B3FA7" w:rsidRDefault="00610D03" w:rsidP="00610D03">
            <w:pPr>
              <w:tabs>
                <w:tab w:val="left" w:pos="7395"/>
              </w:tabs>
              <w:rPr>
                <w:rFonts w:ascii="Aptos" w:hAnsi="Aptos" w:cstheme="minorHAnsi"/>
                <w:b/>
                <w:bCs/>
                <w:sz w:val="24"/>
                <w:szCs w:val="24"/>
              </w:rPr>
            </w:pPr>
          </w:p>
          <w:p w14:paraId="2A5830C1" w14:textId="77777777" w:rsidR="00610D03" w:rsidRPr="008B3FA7" w:rsidRDefault="00610D03" w:rsidP="00610D03">
            <w:pPr>
              <w:tabs>
                <w:tab w:val="left" w:pos="7395"/>
              </w:tabs>
              <w:rPr>
                <w:rFonts w:ascii="Aptos" w:hAnsi="Aptos" w:cstheme="minorHAnsi"/>
                <w:sz w:val="24"/>
                <w:szCs w:val="24"/>
              </w:rPr>
            </w:pPr>
            <w:r w:rsidRPr="008B3FA7">
              <w:rPr>
                <w:rFonts w:ascii="Aptos" w:hAnsi="Aptos" w:cstheme="minorHAnsi"/>
                <w:b/>
                <w:bCs/>
                <w:sz w:val="24"/>
                <w:szCs w:val="24"/>
              </w:rPr>
              <w:t xml:space="preserve">Wymagania organizacyjne </w:t>
            </w:r>
          </w:p>
          <w:p w14:paraId="1265764E" w14:textId="145313F0" w:rsidR="00610D03" w:rsidRPr="00220AC6" w:rsidRDefault="00610D03" w:rsidP="00610D03">
            <w:pPr>
              <w:tabs>
                <w:tab w:val="left" w:pos="7395"/>
              </w:tabs>
              <w:rPr>
                <w:rFonts w:ascii="Aptos" w:hAnsi="Aptos" w:cstheme="minorHAnsi"/>
                <w:sz w:val="24"/>
                <w:szCs w:val="24"/>
              </w:rPr>
            </w:pPr>
            <w:r w:rsidRPr="008B3FA7">
              <w:rPr>
                <w:rFonts w:ascii="Aptos" w:hAnsi="Aptos" w:cstheme="minorHAnsi"/>
                <w:sz w:val="24"/>
                <w:szCs w:val="24"/>
              </w:rPr>
              <w:t>Dostarczone klucze licencyjne muszą zostać przypisane do konta Zamawiającego. Numer konta zostanie przekazany Wykonawcy po rozstrzygnięciu postępowania i wyłonieniu Wykonawcy. Na potrzeby odbioru zostanie zweryfikowane czy na portalu licencyjnym, na koncie Zamawiającego, pojawił się nowy klucz licencyjny na komplet dostarczanych licencji.</w:t>
            </w:r>
          </w:p>
        </w:tc>
        <w:tc>
          <w:tcPr>
            <w:tcW w:w="1549" w:type="pct"/>
            <w:gridSpan w:val="2"/>
          </w:tcPr>
          <w:p w14:paraId="70D5A2AD" w14:textId="5E97F3D9" w:rsidR="00610D03" w:rsidRPr="004641D4" w:rsidRDefault="00610D03" w:rsidP="00610D03">
            <w:pPr>
              <w:tabs>
                <w:tab w:val="left" w:pos="7395"/>
              </w:tabs>
              <w:rPr>
                <w:rFonts w:ascii="Aptos" w:hAnsi="Aptos" w:cstheme="minorHAnsi"/>
                <w:b/>
                <w:bCs/>
                <w:sz w:val="24"/>
                <w:szCs w:val="24"/>
              </w:rPr>
            </w:pPr>
            <w:r w:rsidRPr="009A4169">
              <w:rPr>
                <w:rFonts w:ascii="Aptos" w:hAnsi="Aptos" w:cstheme="minorHAnsi"/>
                <w:sz w:val="24"/>
                <w:szCs w:val="24"/>
              </w:rPr>
              <w:lastRenderedPageBreak/>
              <w:t>spełnia/nie spełnia*</w:t>
            </w:r>
          </w:p>
        </w:tc>
      </w:tr>
      <w:tr w:rsidR="00610D03" w:rsidRPr="00220AC6" w14:paraId="1293F333" w14:textId="4ECEA914" w:rsidTr="006A5468">
        <w:trPr>
          <w:gridAfter w:val="1"/>
          <w:wAfter w:w="6" w:type="pct"/>
          <w:trHeight w:val="284"/>
        </w:trPr>
        <w:tc>
          <w:tcPr>
            <w:tcW w:w="597" w:type="pct"/>
          </w:tcPr>
          <w:p w14:paraId="47652DDA" w14:textId="4B14F542" w:rsidR="00610D03" w:rsidRPr="00220AC6" w:rsidRDefault="00610D03" w:rsidP="00610D03">
            <w:pPr>
              <w:jc w:val="center"/>
              <w:rPr>
                <w:rFonts w:ascii="Aptos" w:hAnsi="Aptos" w:cstheme="minorHAnsi"/>
                <w:b/>
                <w:sz w:val="24"/>
                <w:szCs w:val="24"/>
              </w:rPr>
            </w:pPr>
            <w:r>
              <w:rPr>
                <w:rFonts w:ascii="Aptos" w:hAnsi="Aptos" w:cstheme="minorHAnsi"/>
                <w:b/>
                <w:sz w:val="24"/>
                <w:szCs w:val="24"/>
              </w:rPr>
              <w:lastRenderedPageBreak/>
              <w:t>Zakres zamówienia</w:t>
            </w:r>
          </w:p>
        </w:tc>
        <w:tc>
          <w:tcPr>
            <w:tcW w:w="2848" w:type="pct"/>
          </w:tcPr>
          <w:p w14:paraId="47F9A43B" w14:textId="0CA0C945" w:rsidR="00610D03" w:rsidRPr="0003524D" w:rsidRDefault="00610D03" w:rsidP="00610D03">
            <w:pPr>
              <w:pStyle w:val="Tekstpodstawowy"/>
              <w:jc w:val="left"/>
              <w:rPr>
                <w:rFonts w:ascii="Aptos" w:hAnsi="Aptos"/>
                <w:bCs/>
                <w:sz w:val="24"/>
                <w:szCs w:val="24"/>
              </w:rPr>
            </w:pPr>
            <w:r w:rsidRPr="005B08D7">
              <w:rPr>
                <w:rFonts w:ascii="Aptos" w:hAnsi="Aptos"/>
                <w:bCs/>
                <w:sz w:val="24"/>
                <w:szCs w:val="24"/>
              </w:rPr>
              <w:t>W przypadku zaoferowania rozwiązania równoważnego Wykonawca zobowiązany jest przeszkolić minimum 3 pracowników w zakresie funkcjonalności i działania licencji równoważnych w terminie ustalonym z Zamawiającym, lecz nie później niż w okresie 10 dni kalendarzowych od daty zawarcia umowy.</w:t>
            </w:r>
          </w:p>
        </w:tc>
        <w:tc>
          <w:tcPr>
            <w:tcW w:w="1549" w:type="pct"/>
            <w:gridSpan w:val="2"/>
          </w:tcPr>
          <w:p w14:paraId="69394333" w14:textId="5EF0EF22" w:rsidR="00610D03" w:rsidRPr="005B08D7" w:rsidRDefault="00610D03" w:rsidP="00610D03">
            <w:pPr>
              <w:pStyle w:val="Tekstpodstawowy"/>
              <w:jc w:val="left"/>
              <w:rPr>
                <w:rFonts w:ascii="Aptos" w:hAnsi="Aptos"/>
                <w:bCs/>
                <w:sz w:val="24"/>
                <w:szCs w:val="24"/>
              </w:rPr>
            </w:pPr>
            <w:r w:rsidRPr="009A4169">
              <w:rPr>
                <w:rFonts w:ascii="Aptos" w:hAnsi="Aptos" w:cstheme="minorHAnsi"/>
                <w:sz w:val="24"/>
                <w:szCs w:val="24"/>
              </w:rPr>
              <w:t>spełnia/nie spełnia</w:t>
            </w:r>
            <w:r>
              <w:rPr>
                <w:rFonts w:ascii="Aptos" w:hAnsi="Aptos" w:cstheme="minorHAnsi"/>
                <w:sz w:val="24"/>
                <w:szCs w:val="24"/>
              </w:rPr>
              <w:t>/ nie dotyczy*</w:t>
            </w:r>
          </w:p>
        </w:tc>
      </w:tr>
    </w:tbl>
    <w:p w14:paraId="0D42F936" w14:textId="77777777" w:rsidR="0001057B" w:rsidRPr="00220AC6" w:rsidRDefault="0001057B" w:rsidP="0001057B">
      <w:pPr>
        <w:rPr>
          <w:rFonts w:ascii="Aptos" w:hAnsi="Aptos" w:cstheme="minorHAnsi"/>
          <w:sz w:val="24"/>
          <w:szCs w:val="24"/>
        </w:rPr>
      </w:pPr>
    </w:p>
    <w:p w14:paraId="5639F849" w14:textId="77777777" w:rsidR="0001057B" w:rsidRPr="00220AC6" w:rsidRDefault="0001057B" w:rsidP="0001057B">
      <w:pPr>
        <w:rPr>
          <w:rFonts w:ascii="Aptos" w:hAnsi="Aptos" w:cstheme="minorHAnsi"/>
          <w:sz w:val="24"/>
          <w:szCs w:val="24"/>
        </w:rPr>
      </w:pPr>
    </w:p>
    <w:tbl>
      <w:tblPr>
        <w:tblW w:w="14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0"/>
      </w:tblGrid>
      <w:tr w:rsidR="00853646" w:rsidRPr="00220AC6" w14:paraId="6F6DC872" w14:textId="77777777" w:rsidTr="004641D4">
        <w:trPr>
          <w:trHeight w:val="444"/>
        </w:trPr>
        <w:tc>
          <w:tcPr>
            <w:tcW w:w="1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333FA" w14:textId="40B227F0" w:rsidR="0001057B" w:rsidRPr="00220AC6" w:rsidRDefault="0060755A" w:rsidP="0001057B">
            <w:pPr>
              <w:rPr>
                <w:rFonts w:ascii="Aptos" w:hAnsi="Aptos" w:cs="Calibri"/>
                <w:b/>
                <w:bCs/>
                <w:sz w:val="24"/>
                <w:szCs w:val="24"/>
              </w:rPr>
            </w:pPr>
            <w:r>
              <w:rPr>
                <w:rFonts w:ascii="Aptos" w:hAnsi="Aptos" w:cs="Calibri"/>
                <w:b/>
                <w:bCs/>
                <w:sz w:val="24"/>
                <w:szCs w:val="24"/>
              </w:rPr>
              <w:t>D</w:t>
            </w:r>
            <w:r w:rsidR="0001057B" w:rsidRPr="00220AC6">
              <w:rPr>
                <w:rFonts w:ascii="Aptos" w:hAnsi="Aptos" w:cs="Calibri"/>
                <w:b/>
                <w:bCs/>
                <w:sz w:val="24"/>
                <w:szCs w:val="24"/>
              </w:rPr>
              <w:t>otyczy całości przedmiotu zamówienia:</w:t>
            </w:r>
          </w:p>
        </w:tc>
      </w:tr>
      <w:tr w:rsidR="00853646" w:rsidRPr="00220AC6" w14:paraId="07F514DC" w14:textId="77777777" w:rsidTr="0093728F">
        <w:trPr>
          <w:trHeight w:val="699"/>
        </w:trPr>
        <w:tc>
          <w:tcPr>
            <w:tcW w:w="1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56B5A32" w14:textId="77777777" w:rsidR="0029141E" w:rsidRPr="00220AC6" w:rsidRDefault="0093728F" w:rsidP="00A90819">
            <w:pPr>
              <w:spacing w:line="276" w:lineRule="auto"/>
              <w:rPr>
                <w:rFonts w:ascii="Aptos" w:hAnsi="Aptos" w:cstheme="minorHAnsi"/>
                <w:sz w:val="24"/>
                <w:szCs w:val="24"/>
              </w:rPr>
            </w:pPr>
            <w:r w:rsidRPr="00220AC6">
              <w:rPr>
                <w:rFonts w:ascii="Aptos" w:hAnsi="Aptos" w:cstheme="minorHAnsi"/>
                <w:sz w:val="24"/>
                <w:szCs w:val="24"/>
              </w:rPr>
              <w:t xml:space="preserve">Wszystkie w/w parametry i cechy przedmiotu zamówienia objęte są klauzulą "lub równoważne z uwzględnieniem w/w minimalnych parametrów i cech towaru, stanowiących kryteria stosowane w celu oceny  </w:t>
            </w:r>
            <w:r w:rsidR="0029141E" w:rsidRPr="00220AC6">
              <w:rPr>
                <w:rFonts w:ascii="Aptos" w:hAnsi="Aptos" w:cstheme="minorHAnsi"/>
                <w:sz w:val="24"/>
                <w:szCs w:val="24"/>
              </w:rPr>
              <w:t>r</w:t>
            </w:r>
            <w:r w:rsidRPr="00220AC6">
              <w:rPr>
                <w:rFonts w:ascii="Aptos" w:hAnsi="Aptos" w:cstheme="minorHAnsi"/>
                <w:sz w:val="24"/>
                <w:szCs w:val="24"/>
              </w:rPr>
              <w:t xml:space="preserve">ównoważności".     </w:t>
            </w:r>
          </w:p>
          <w:p w14:paraId="1B2E6CB3" w14:textId="77777777" w:rsidR="0029141E" w:rsidRPr="00220AC6" w:rsidRDefault="0029141E" w:rsidP="0029141E">
            <w:pPr>
              <w:rPr>
                <w:rFonts w:ascii="Aptos" w:hAnsi="Aptos"/>
                <w:b/>
                <w:bCs/>
                <w:sz w:val="24"/>
                <w:szCs w:val="24"/>
              </w:rPr>
            </w:pPr>
            <w:r w:rsidRPr="00220AC6">
              <w:rPr>
                <w:rFonts w:ascii="Aptos" w:hAnsi="Aptos"/>
                <w:b/>
                <w:bCs/>
                <w:sz w:val="24"/>
                <w:szCs w:val="24"/>
              </w:rPr>
              <w:t>Wszelkie parametry minimalne należy rozumieć jako niezbędne do osiągnięcia funkcjonalności dydaktycznych, a Zamawiający dopuszcza rozwiązania równoważne spełniające te funkcje.</w:t>
            </w:r>
          </w:p>
          <w:p w14:paraId="3E10B96E" w14:textId="0923EE4E" w:rsidR="0093728F" w:rsidRPr="00220AC6" w:rsidRDefault="0093728F" w:rsidP="0029141E">
            <w:pPr>
              <w:rPr>
                <w:rFonts w:ascii="Aptos" w:hAnsi="Aptos"/>
                <w:sz w:val="24"/>
                <w:szCs w:val="24"/>
              </w:rPr>
            </w:pPr>
            <w:r w:rsidRPr="00220AC6">
              <w:rPr>
                <w:rFonts w:ascii="Aptos" w:hAnsi="Aptos" w:cstheme="minorHAnsi"/>
                <w:sz w:val="24"/>
                <w:szCs w:val="24"/>
              </w:rPr>
              <w:t>Zakres parametrów i cech, dla których dopuszczono możliwość zaoferowania produktów równoważnych, jakie Zamawiający uzna za wystarczające dla spełnienia równoważności oraz minimalne wymagania jakościowe w zakresie równoważności produktów, minimalne parametry w oparciu o które Zamawiający dokona oceny spełnienia wymagań opisu przedmiotu zamówienia:</w:t>
            </w:r>
          </w:p>
          <w:p w14:paraId="22A687A8" w14:textId="77777777" w:rsidR="0093728F" w:rsidRPr="00220AC6" w:rsidRDefault="0093728F" w:rsidP="00A90819">
            <w:pPr>
              <w:spacing w:line="276" w:lineRule="auto"/>
              <w:rPr>
                <w:rFonts w:ascii="Aptos" w:hAnsi="Aptos" w:cstheme="minorHAnsi"/>
                <w:sz w:val="24"/>
                <w:szCs w:val="24"/>
              </w:rPr>
            </w:pPr>
          </w:p>
          <w:p w14:paraId="69AEF193" w14:textId="77777777" w:rsidR="0093728F" w:rsidRPr="00220AC6" w:rsidRDefault="0093728F" w:rsidP="00A90819">
            <w:pPr>
              <w:spacing w:line="276" w:lineRule="auto"/>
              <w:rPr>
                <w:rFonts w:ascii="Aptos" w:hAnsi="Aptos" w:cstheme="minorHAnsi"/>
                <w:sz w:val="24"/>
                <w:szCs w:val="24"/>
              </w:rPr>
            </w:pPr>
            <w:r w:rsidRPr="00220AC6">
              <w:rPr>
                <w:rFonts w:ascii="Aptos" w:hAnsi="Aptos" w:cstheme="minorHAnsi"/>
                <w:sz w:val="24"/>
                <w:szCs w:val="24"/>
              </w:rPr>
              <w:t>Określenie parametrów technicznych i wymogów jakościowych dotyczących ofert równoważnych:</w:t>
            </w:r>
          </w:p>
          <w:p w14:paraId="10F5822B" w14:textId="77777777" w:rsidR="004641D4" w:rsidRPr="00220AC6" w:rsidRDefault="0093728F" w:rsidP="00A90819">
            <w:pPr>
              <w:spacing w:line="276" w:lineRule="auto"/>
              <w:rPr>
                <w:rFonts w:ascii="Aptos" w:hAnsi="Aptos" w:cstheme="minorHAnsi"/>
                <w:sz w:val="24"/>
                <w:szCs w:val="24"/>
              </w:rPr>
            </w:pPr>
            <w:r w:rsidRPr="00220AC6">
              <w:rPr>
                <w:rFonts w:ascii="Aptos" w:hAnsi="Aptos" w:cstheme="minorHAnsi"/>
                <w:sz w:val="24"/>
                <w:szCs w:val="24"/>
              </w:rPr>
              <w:t>1.</w:t>
            </w:r>
          </w:p>
          <w:p w14:paraId="4F98DEC5" w14:textId="77777777" w:rsidR="004641D4" w:rsidRPr="00220AC6" w:rsidRDefault="004641D4" w:rsidP="004641D4">
            <w:pPr>
              <w:spacing w:line="276" w:lineRule="auto"/>
              <w:rPr>
                <w:rFonts w:ascii="Aptos" w:hAnsi="Aptos" w:cstheme="minorHAnsi"/>
                <w:sz w:val="24"/>
                <w:szCs w:val="24"/>
              </w:rPr>
            </w:pPr>
            <w:r w:rsidRPr="00220AC6">
              <w:rPr>
                <w:rFonts w:ascii="Aptos" w:hAnsi="Aptos" w:cstheme="minorHAnsi"/>
                <w:sz w:val="24"/>
                <w:szCs w:val="24"/>
              </w:rPr>
              <w:t>Wszędzie tam, gdzie w niniejszym Opisie Przedmiotu Zamówienia (OPZ) oraz w pozostałej dokumentacji zamówienia wskazano znaki towarowe, nazwy własne, numery katalogowe, patenty lub określono pochodzenie produktu, Zamawiający dopuszcza zaoferowanie produktów równoważnych. Ciężar udowodnienia, że oferowany produkt jest równoważny w stosunku do produktu opisanego w OPZ, spoczywa na Wykonawcy. Na żądanie Zamawiającego, Wykonawca jest zobowiązany przedstawić odpowiednie dokumenty, certyfikaty, opisy techniczne lub inne materiały potwierdzające równoważność</w:t>
            </w:r>
          </w:p>
          <w:p w14:paraId="36A71059" w14:textId="26C0671D" w:rsidR="004641D4" w:rsidRPr="00220AC6" w:rsidRDefault="004641D4" w:rsidP="004641D4">
            <w:pPr>
              <w:spacing w:line="276" w:lineRule="auto"/>
              <w:rPr>
                <w:rFonts w:ascii="Aptos" w:hAnsi="Aptos" w:cstheme="minorHAnsi"/>
                <w:sz w:val="24"/>
                <w:szCs w:val="24"/>
              </w:rPr>
            </w:pPr>
            <w:r w:rsidRPr="00220AC6">
              <w:rPr>
                <w:rFonts w:ascii="Aptos" w:hAnsi="Aptos" w:cstheme="minorHAnsi"/>
                <w:sz w:val="24"/>
                <w:szCs w:val="24"/>
              </w:rPr>
              <w:t>W przypadku zaoferowania produktu równoważnego, Wykonawca zobowiązany jest wraz z ofertą przedłożyć</w:t>
            </w:r>
            <w:r w:rsidR="0060755A">
              <w:rPr>
                <w:rFonts w:ascii="Aptos" w:hAnsi="Aptos" w:cstheme="minorHAnsi"/>
                <w:sz w:val="24"/>
                <w:szCs w:val="24"/>
              </w:rPr>
              <w:t>:</w:t>
            </w:r>
          </w:p>
          <w:p w14:paraId="422AE592" w14:textId="77777777" w:rsidR="004641D4" w:rsidRPr="00220AC6" w:rsidRDefault="004641D4" w:rsidP="004641D4">
            <w:pPr>
              <w:spacing w:line="276" w:lineRule="auto"/>
              <w:rPr>
                <w:rFonts w:ascii="Aptos" w:hAnsi="Aptos" w:cstheme="minorHAnsi"/>
                <w:sz w:val="24"/>
                <w:szCs w:val="24"/>
              </w:rPr>
            </w:pPr>
            <w:r w:rsidRPr="00220AC6">
              <w:rPr>
                <w:rFonts w:ascii="Aptos" w:hAnsi="Aptos" w:cstheme="minorHAnsi"/>
                <w:sz w:val="24"/>
                <w:szCs w:val="24"/>
              </w:rPr>
              <w:t>- szczegółowy wykaz parametrów równoważnych wraz z porównaniem do produktu wzorcowego (w formie tabelarycznej);</w:t>
            </w:r>
          </w:p>
          <w:p w14:paraId="02B5F792" w14:textId="77777777" w:rsidR="004641D4" w:rsidRPr="00220AC6" w:rsidRDefault="004641D4" w:rsidP="004641D4">
            <w:pPr>
              <w:spacing w:line="276" w:lineRule="auto"/>
              <w:rPr>
                <w:rFonts w:ascii="Aptos" w:hAnsi="Aptos" w:cstheme="minorHAnsi"/>
                <w:sz w:val="24"/>
                <w:szCs w:val="24"/>
              </w:rPr>
            </w:pPr>
            <w:r w:rsidRPr="00220AC6">
              <w:rPr>
                <w:rFonts w:ascii="Aptos" w:hAnsi="Aptos" w:cstheme="minorHAnsi"/>
                <w:sz w:val="24"/>
                <w:szCs w:val="24"/>
              </w:rPr>
              <w:t>- karty katalogowe lub oficjalną dokumentację producenta oferowanego produktu;</w:t>
            </w:r>
          </w:p>
          <w:p w14:paraId="19E7543D" w14:textId="77777777" w:rsidR="004641D4" w:rsidRPr="00220AC6" w:rsidRDefault="004641D4" w:rsidP="004641D4">
            <w:pPr>
              <w:spacing w:line="276" w:lineRule="auto"/>
              <w:rPr>
                <w:rFonts w:ascii="Aptos" w:hAnsi="Aptos" w:cstheme="minorHAnsi"/>
                <w:sz w:val="24"/>
                <w:szCs w:val="24"/>
              </w:rPr>
            </w:pPr>
            <w:r w:rsidRPr="00220AC6">
              <w:rPr>
                <w:rFonts w:ascii="Aptos" w:hAnsi="Aptos" w:cstheme="minorHAnsi"/>
                <w:sz w:val="24"/>
                <w:szCs w:val="24"/>
              </w:rPr>
              <w:t>- certyfikaty, atesty, raporty z testów lub inne potwierdzenia zgodności (jeśli wymagane);</w:t>
            </w:r>
          </w:p>
          <w:p w14:paraId="5A97647A" w14:textId="77777777" w:rsidR="004641D4" w:rsidRPr="00220AC6" w:rsidRDefault="004641D4" w:rsidP="004641D4">
            <w:pPr>
              <w:spacing w:line="276" w:lineRule="auto"/>
              <w:rPr>
                <w:rFonts w:ascii="Aptos" w:hAnsi="Aptos" w:cstheme="minorHAnsi"/>
                <w:sz w:val="24"/>
                <w:szCs w:val="24"/>
              </w:rPr>
            </w:pPr>
            <w:r w:rsidRPr="00220AC6">
              <w:rPr>
                <w:rFonts w:ascii="Aptos" w:hAnsi="Aptos" w:cstheme="minorHAnsi"/>
                <w:sz w:val="24"/>
                <w:szCs w:val="24"/>
              </w:rPr>
              <w:t>- referencje lub oświadczenie producenta potwierdzające pełną kompatybilność z infrastrukturą Zamawiającego (jeśli dotyczy).</w:t>
            </w:r>
          </w:p>
          <w:p w14:paraId="5A599B92" w14:textId="12EA7D2E" w:rsidR="004641D4" w:rsidRPr="00220AC6" w:rsidRDefault="004641D4" w:rsidP="004641D4">
            <w:pPr>
              <w:spacing w:line="276" w:lineRule="auto"/>
              <w:rPr>
                <w:rFonts w:ascii="Aptos" w:hAnsi="Aptos" w:cstheme="minorHAnsi"/>
                <w:sz w:val="24"/>
                <w:szCs w:val="24"/>
              </w:rPr>
            </w:pPr>
            <w:r w:rsidRPr="00220AC6">
              <w:rPr>
                <w:rFonts w:ascii="Aptos" w:hAnsi="Aptos" w:cstheme="minorHAnsi"/>
                <w:sz w:val="24"/>
                <w:szCs w:val="24"/>
              </w:rPr>
              <w:t>Zamawiający zastrzega sobie prawo żądania dodatkowych wyjaśnień oraz uzupełnienia dokumentów. Brak wykazania równoważności skutkuje odrzuceniem oferty.</w:t>
            </w:r>
          </w:p>
          <w:p w14:paraId="7776816C" w14:textId="358F6D1C" w:rsidR="0093728F" w:rsidRPr="00220AC6" w:rsidRDefault="0093728F" w:rsidP="00A90819">
            <w:pPr>
              <w:spacing w:line="276" w:lineRule="auto"/>
              <w:rPr>
                <w:rFonts w:ascii="Aptos" w:hAnsi="Aptos" w:cstheme="minorHAnsi"/>
                <w:sz w:val="24"/>
                <w:szCs w:val="24"/>
              </w:rPr>
            </w:pPr>
            <w:r w:rsidRPr="00220AC6">
              <w:rPr>
                <w:rFonts w:ascii="Aptos" w:hAnsi="Aptos" w:cstheme="minorHAnsi"/>
                <w:sz w:val="24"/>
                <w:szCs w:val="24"/>
              </w:rPr>
              <w:t xml:space="preserve"> Zawarte w zapytaniu ofertowym oraz w załącznikach informacje na temat parametrów i funkcji oferowanych produktów są danymi minimalnymi. Zamawiający dopuszcza zaoferowanie produktów o rozszerzonych funkcjach i lepszych parametrach, pod warunkiem, że spełniają one minimalne wymagania określone w niniejszym zamówieniu.</w:t>
            </w:r>
          </w:p>
          <w:p w14:paraId="184FF117" w14:textId="77777777" w:rsidR="0093728F" w:rsidRPr="00220AC6" w:rsidRDefault="0093728F" w:rsidP="00A90819">
            <w:pPr>
              <w:spacing w:line="276" w:lineRule="auto"/>
              <w:rPr>
                <w:rFonts w:ascii="Aptos" w:hAnsi="Aptos" w:cstheme="minorHAnsi"/>
                <w:sz w:val="24"/>
                <w:szCs w:val="24"/>
              </w:rPr>
            </w:pPr>
            <w:r w:rsidRPr="00220AC6">
              <w:rPr>
                <w:rFonts w:ascii="Aptos" w:hAnsi="Aptos" w:cstheme="minorHAnsi"/>
                <w:sz w:val="24"/>
                <w:szCs w:val="24"/>
              </w:rPr>
              <w:t>2. Zamawiający dopuszcza składanie ofert obejmujących produkt o innych nazwach niż podane w Szczegółowym opisie zamówienia, o cechach i parametrach wskazanych lub lepszych niż posiada przedmiot zamówienia opisany w zapytaniu ofertowym, który jest opisany z uwzględnieniem minimalnych parametrów i cech produktu, stanowiących kryteria stosowane w celu oceny równoważności. Pojęcie równoważności, dotyczy równoważności jakościowej i funkcjonalnej oferowanych produktów, nie zaś równoważności wszystkich elementów oferty. Produkty  pochodzące od konkretnych producentów określają minimalne parametry techniczne, eksploatacyjne, użytkowe, jakościowe i funkcjonalne jakim muszą odpowiadać produkty oferowane przez wykonawcę, aby zostały spełnione wymagania stawiane przez Zamawiającego.</w:t>
            </w:r>
          </w:p>
          <w:p w14:paraId="4DE0C5B6" w14:textId="77777777" w:rsidR="0093728F" w:rsidRPr="00220AC6" w:rsidRDefault="0093728F" w:rsidP="00A90819">
            <w:pPr>
              <w:spacing w:line="276" w:lineRule="auto"/>
              <w:rPr>
                <w:rFonts w:ascii="Aptos" w:hAnsi="Aptos" w:cstheme="minorHAnsi"/>
                <w:sz w:val="24"/>
                <w:szCs w:val="24"/>
              </w:rPr>
            </w:pPr>
            <w:r w:rsidRPr="00220AC6">
              <w:rPr>
                <w:rFonts w:ascii="Aptos" w:hAnsi="Aptos" w:cstheme="minorHAnsi"/>
                <w:sz w:val="24"/>
                <w:szCs w:val="24"/>
              </w:rPr>
              <w:t xml:space="preserve">3. Pod pojęciem „minimalne parametry techniczne, eksploatacyjne, użytkowe, jakościowe i funkcjonalne” Zamawiający rozumie wymagania dotyczące produktów  zawarte w ogólnie dostępnych źródłach, katalogach, stronach internetowych producentów. </w:t>
            </w:r>
            <w:r w:rsidRPr="00220AC6">
              <w:rPr>
                <w:rFonts w:ascii="Aptos" w:hAnsi="Aptos" w:cstheme="minorHAnsi"/>
                <w:sz w:val="24"/>
                <w:szCs w:val="24"/>
              </w:rPr>
              <w:lastRenderedPageBreak/>
              <w:t>Operowanie przykładowymi nazwami producenta ma jedynie na celu doprecyzowanie poziomu oczekiwań Zamawiającego w stosunku do określonego rozwiązania. Posługiwanie się nazwami producentów/produktów ma wyłącznie charakter przykładowy. Zamawiający, wskazując oznaczenie konkretnego producenta (dostawcy) lub konkretny produkt przy opisie przedmiotu zamówienia, dopuszcza jednocześnie produkty równoważne o parametrach technicznych, eksploatacyjnych, użytkowych, jakościowych i funkcjonalnych co najmniej na poziomie parametrów wskazanego produktu, uznając tym samym każdy produkt o wskazanych lub lepszych parametrach. Oznacza że wskazaniom tym towarzyszą wyrazy „lub równoważny”.</w:t>
            </w:r>
          </w:p>
          <w:p w14:paraId="430DC676" w14:textId="77777777" w:rsidR="0093728F" w:rsidRPr="00220AC6" w:rsidRDefault="0093728F" w:rsidP="00A90819">
            <w:pPr>
              <w:spacing w:line="276" w:lineRule="auto"/>
              <w:rPr>
                <w:rFonts w:ascii="Aptos" w:hAnsi="Aptos" w:cstheme="minorHAnsi"/>
                <w:sz w:val="24"/>
                <w:szCs w:val="24"/>
              </w:rPr>
            </w:pPr>
            <w:r w:rsidRPr="00220AC6">
              <w:rPr>
                <w:rFonts w:ascii="Aptos" w:hAnsi="Aptos" w:cstheme="minorHAnsi"/>
                <w:sz w:val="24"/>
                <w:szCs w:val="24"/>
              </w:rPr>
              <w:t>4. W sytuacji gdyby w opisie przedmiotu zamówienia zawarto odniesienie do nazw, produktów, producentów, dostawców, norm, europejskich ocen technicznych, aprobat, specyfikacji technicznych i systemów referencji technicznych, a takim odniesieniom nie towarzyszyło wyrażenie „lub równoważne”, to Zamawiający dopuszcza rozwiązania równoważne opisywanym w każdej takiej nazwie, produkcie, producencie, dostawcy, normie, europejskiej ocenie technicznej, aprobacie, specyfikacji technicznej, systemowi referencji technicznych. W związku z powyższym należy przyjąć, że każdej: nazwie, produkcie, producencie, dostawcy, normie, europejskiej ocenie technicznej, aprobacie, specyfikacji technicznej, systemowi referencji technicznych występujących w opisie przedmiotu zamówienia towarzyszą wyrazy „lub równoważne".</w:t>
            </w:r>
          </w:p>
          <w:p w14:paraId="02837390" w14:textId="77777777" w:rsidR="0093728F" w:rsidRPr="00220AC6" w:rsidRDefault="0093728F" w:rsidP="00A90819">
            <w:pPr>
              <w:spacing w:line="276" w:lineRule="auto"/>
              <w:rPr>
                <w:rFonts w:ascii="Aptos" w:hAnsi="Aptos" w:cstheme="minorHAnsi"/>
                <w:sz w:val="24"/>
                <w:szCs w:val="24"/>
              </w:rPr>
            </w:pPr>
            <w:r w:rsidRPr="00220AC6">
              <w:rPr>
                <w:rFonts w:ascii="Aptos" w:hAnsi="Aptos" w:cstheme="minorHAnsi"/>
                <w:sz w:val="24"/>
                <w:szCs w:val="24"/>
              </w:rPr>
              <w:t>5. Kryteria stosowane w celu oceny równoważności: Wykonawca, który powoła się na rozwiązania równoważne z opisanymi przez Zamawiającego, jest zobowiązany wykazać, że zaproponowane przez niego pomoce, produktu, oprogramowanie, system i/lub urządzenia spełniają (są równoważne) wymagania określone przez Zamawiającego. W takim przypadku Wykonawca zobowiązany jest podać w ofercie nazwy (typy, rodzaje) i producentów przyjętych do wyceny i zastosowania przy realizacji zamówienia oferowanych pomocy, produktów, oprogramowania, urządzeń i/lub systemów oraz przedłożyć odpowiednie dokumenty (w języku polskim) opisujące parametry techniczne oraz producenta, wymagane przepisami certyfikaty i inne dokumenty, pozwalające jednoznacznie stwierdzić, że są one rzeczywiście równoważne.  Ocena równoważności może być dokonana w oparciu o dokumentację producenta, jeśli pozwala ona ustalić, czy dana funkcjonalność jest zapewniona, tj. czy producent ją potwierdza i gwarantuje tym samym jej prawidłowe działanie. Równoważność pod względem parametrów technicznych, użytkowych oraz eksploatacyjnych ma w szczególności zapewnić uzyskanie parametrów technicznych nie gorszych od założonych w niniejszy, zapytaniu ofertowym. Zastosowanie rozwiązań równoważnych musi zapewnić poprawne działanie urządzeń. W przypadku niewskazania przez Wykonawcę w ofercie rozwiązania równoważnego Zamawiający uzna, iż Wykonawca będzie realizował przedmiot zamówienia zgodnie z rozwiązaniami wskazanymi w zapytaniu i załącznikach.</w:t>
            </w:r>
          </w:p>
        </w:tc>
      </w:tr>
      <w:tr w:rsidR="00853646" w:rsidRPr="00220AC6" w14:paraId="6025E39C" w14:textId="77777777" w:rsidTr="0093728F">
        <w:trPr>
          <w:trHeight w:val="619"/>
        </w:trPr>
        <w:tc>
          <w:tcPr>
            <w:tcW w:w="1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02E0294" w14:textId="77777777" w:rsidR="0093728F" w:rsidRPr="00220AC6" w:rsidRDefault="0093728F" w:rsidP="00A90819">
            <w:pPr>
              <w:spacing w:line="276" w:lineRule="auto"/>
              <w:rPr>
                <w:rFonts w:ascii="Aptos" w:hAnsi="Aptos" w:cstheme="minorHAnsi"/>
                <w:sz w:val="24"/>
                <w:szCs w:val="24"/>
              </w:rPr>
            </w:pPr>
            <w:r w:rsidRPr="00220AC6">
              <w:rPr>
                <w:rFonts w:ascii="Aptos" w:hAnsi="Aptos" w:cs="Calibri"/>
                <w:sz w:val="24"/>
                <w:szCs w:val="24"/>
              </w:rPr>
              <w:lastRenderedPageBreak/>
              <w:t>Zamawiający oczekuje ograniczenia nadmiernego stosowania opakowań i odpadów opakowaniowych.</w:t>
            </w:r>
          </w:p>
        </w:tc>
      </w:tr>
      <w:tr w:rsidR="00853646" w:rsidRPr="00220AC6" w14:paraId="3023E7BF" w14:textId="77777777" w:rsidTr="0093728F">
        <w:trPr>
          <w:trHeight w:val="708"/>
        </w:trPr>
        <w:tc>
          <w:tcPr>
            <w:tcW w:w="1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899D242" w14:textId="77777777" w:rsidR="0093728F" w:rsidRPr="00220AC6" w:rsidRDefault="0093728F" w:rsidP="00A90819">
            <w:pPr>
              <w:spacing w:line="276" w:lineRule="auto"/>
              <w:rPr>
                <w:rFonts w:ascii="Aptos" w:hAnsi="Aptos" w:cstheme="minorHAnsi"/>
                <w:sz w:val="24"/>
                <w:szCs w:val="24"/>
              </w:rPr>
            </w:pPr>
            <w:r w:rsidRPr="00220AC6">
              <w:rPr>
                <w:rFonts w:ascii="Aptos" w:hAnsi="Aptos" w:cs="Calibri"/>
                <w:sz w:val="24"/>
                <w:szCs w:val="24"/>
              </w:rPr>
              <w:t>Zamawiający wymaga dostawy przedmiotu zamówienia w opakowaniu nadającym się do  recyklingu.</w:t>
            </w:r>
          </w:p>
        </w:tc>
      </w:tr>
      <w:tr w:rsidR="0093728F" w:rsidRPr="00220AC6" w14:paraId="4819F3C4" w14:textId="77777777" w:rsidTr="0093728F">
        <w:trPr>
          <w:trHeight w:val="1020"/>
        </w:trPr>
        <w:tc>
          <w:tcPr>
            <w:tcW w:w="1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C7E65F2" w14:textId="235C54F5" w:rsidR="0093728F" w:rsidRPr="00220AC6" w:rsidRDefault="0093728F" w:rsidP="00A90819">
            <w:pPr>
              <w:spacing w:line="276" w:lineRule="auto"/>
              <w:rPr>
                <w:rFonts w:ascii="Aptos" w:hAnsi="Aptos" w:cstheme="minorHAnsi"/>
                <w:sz w:val="24"/>
                <w:szCs w:val="24"/>
              </w:rPr>
            </w:pPr>
            <w:r w:rsidRPr="00220AC6">
              <w:rPr>
                <w:rFonts w:ascii="Aptos" w:hAnsi="Aptos" w:cs="Calibri"/>
                <w:sz w:val="24"/>
                <w:szCs w:val="24"/>
              </w:rPr>
              <w:t xml:space="preserve">Zamawiający wymaga dostawy </w:t>
            </w:r>
            <w:r w:rsidR="0060755A">
              <w:rPr>
                <w:rFonts w:ascii="Aptos" w:hAnsi="Aptos" w:cs="Calibri"/>
                <w:sz w:val="24"/>
                <w:szCs w:val="24"/>
              </w:rPr>
              <w:t>oprogramowania</w:t>
            </w:r>
            <w:r w:rsidRPr="00220AC6">
              <w:rPr>
                <w:rFonts w:ascii="Aptos" w:hAnsi="Aptos" w:cs="Calibri"/>
                <w:sz w:val="24"/>
                <w:szCs w:val="24"/>
              </w:rPr>
              <w:t xml:space="preserve"> zgodnego ze standardem cyfrowym opisanym w Zał. Nr 2 do Wytycznych dotyczących realizacji zasad równościowych w ramach funduszy unijnych na lata 2021-2027  - Standardami dostępności dla polityki spójności 2021-2027</w:t>
            </w:r>
          </w:p>
        </w:tc>
      </w:tr>
    </w:tbl>
    <w:p w14:paraId="26A993FA" w14:textId="77777777" w:rsidR="0093728F" w:rsidRPr="00220AC6" w:rsidRDefault="0093728F" w:rsidP="0093728F">
      <w:pPr>
        <w:spacing w:line="276" w:lineRule="auto"/>
        <w:rPr>
          <w:rFonts w:ascii="Aptos" w:hAnsi="Aptos" w:cstheme="minorHAnsi"/>
          <w:sz w:val="24"/>
          <w:szCs w:val="24"/>
        </w:rPr>
      </w:pPr>
    </w:p>
    <w:p w14:paraId="589197A2" w14:textId="77777777" w:rsidR="0001057B" w:rsidRPr="00220AC6" w:rsidRDefault="0001057B" w:rsidP="0001057B">
      <w:pPr>
        <w:rPr>
          <w:rFonts w:ascii="Aptos" w:hAnsi="Aptos" w:cstheme="minorHAnsi"/>
          <w:sz w:val="24"/>
          <w:szCs w:val="24"/>
        </w:rPr>
      </w:pPr>
    </w:p>
    <w:p w14:paraId="2928F2BE" w14:textId="77777777" w:rsidR="0001057B" w:rsidRPr="00220AC6" w:rsidRDefault="0001057B" w:rsidP="0001057B">
      <w:pPr>
        <w:rPr>
          <w:rFonts w:ascii="Aptos" w:hAnsi="Aptos" w:cstheme="minorHAnsi"/>
          <w:sz w:val="24"/>
          <w:szCs w:val="24"/>
        </w:rPr>
      </w:pPr>
    </w:p>
    <w:p w14:paraId="33D0EB9B" w14:textId="77777777" w:rsidR="0001057B" w:rsidRPr="00220AC6" w:rsidRDefault="0001057B" w:rsidP="0001057B">
      <w:pPr>
        <w:rPr>
          <w:rFonts w:ascii="Aptos" w:hAnsi="Aptos" w:cstheme="minorHAnsi"/>
          <w:sz w:val="24"/>
          <w:szCs w:val="24"/>
        </w:rPr>
      </w:pPr>
    </w:p>
    <w:p w14:paraId="716DA874" w14:textId="77777777" w:rsidR="008960E7" w:rsidRPr="00220AC6" w:rsidRDefault="008960E7" w:rsidP="008960E7">
      <w:pPr>
        <w:rPr>
          <w:rFonts w:ascii="Aptos" w:hAnsi="Aptos" w:cstheme="minorHAnsi"/>
          <w:sz w:val="24"/>
          <w:szCs w:val="24"/>
        </w:rPr>
      </w:pPr>
    </w:p>
    <w:sectPr w:rsidR="008960E7" w:rsidRPr="00220AC6" w:rsidSect="00A673B3">
      <w:headerReference w:type="even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418" w:right="567" w:bottom="1418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572E74" w14:textId="77777777" w:rsidR="00020268" w:rsidRDefault="00020268" w:rsidP="00CD4A6A">
      <w:r>
        <w:separator/>
      </w:r>
    </w:p>
  </w:endnote>
  <w:endnote w:type="continuationSeparator" w:id="0">
    <w:p w14:paraId="03D59B5C" w14:textId="77777777" w:rsidR="00020268" w:rsidRDefault="00020268" w:rsidP="00CD4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225CE" w14:textId="77777777" w:rsidR="009F1DF7" w:rsidRDefault="009F1DF7" w:rsidP="009F1DF7">
    <w:pPr>
      <w:pStyle w:val="Stopka"/>
    </w:pPr>
    <w:bookmarkStart w:id="0" w:name="DocumentMarkings1FooterEvenPages"/>
  </w:p>
  <w:bookmarkEnd w:id="0"/>
  <w:p w14:paraId="47211FDC" w14:textId="77777777" w:rsidR="009F1DF7" w:rsidRDefault="009F1DF7" w:rsidP="009F1DF7">
    <w:pPr>
      <w:pStyle w:val="Stopka"/>
    </w:pPr>
  </w:p>
  <w:p w14:paraId="5CD01476" w14:textId="77777777" w:rsidR="00CD4A6A" w:rsidRDefault="00CD4A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C296A" w14:textId="77777777" w:rsidR="00CD4A6A" w:rsidRDefault="00CD4A6A" w:rsidP="009F1DF7">
    <w:pPr>
      <w:pStyle w:val="Stopka"/>
    </w:pPr>
    <w:bookmarkStart w:id="1" w:name="DocumentMarkings1FooterPrimary"/>
  </w:p>
  <w:bookmarkEnd w:id="1"/>
  <w:p w14:paraId="69FDBA98" w14:textId="77777777" w:rsidR="00CD4A6A" w:rsidRDefault="00CD4A6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B5AB6" w14:textId="77777777" w:rsidR="00CD4A6A" w:rsidRDefault="00CD4A6A" w:rsidP="009F1DF7">
    <w:pPr>
      <w:pStyle w:val="Stopka"/>
    </w:pPr>
    <w:bookmarkStart w:id="2" w:name="DocumentMarkings1FooterFirstPage"/>
  </w:p>
  <w:bookmarkEnd w:id="2"/>
  <w:p w14:paraId="51C3C3DE" w14:textId="77777777" w:rsidR="00CD4A6A" w:rsidRDefault="00CD4A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B09E4" w14:textId="77777777" w:rsidR="00020268" w:rsidRDefault="00020268" w:rsidP="00CD4A6A">
      <w:r>
        <w:separator/>
      </w:r>
    </w:p>
  </w:footnote>
  <w:footnote w:type="continuationSeparator" w:id="0">
    <w:p w14:paraId="5B1123C4" w14:textId="77777777" w:rsidR="00020268" w:rsidRDefault="00020268" w:rsidP="00CD4A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7BF06" w14:textId="77777777" w:rsidR="00CD4A6A" w:rsidRDefault="00CD4A6A" w:rsidP="00CD4A6A">
    <w:pPr>
      <w:pStyle w:val="Nagwek"/>
    </w:pPr>
  </w:p>
  <w:p w14:paraId="6C081FCB" w14:textId="77777777" w:rsidR="00CD4A6A" w:rsidRDefault="00CD4A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182FE" w14:textId="6915C4AA" w:rsidR="004A7A9B" w:rsidRDefault="004A7A9B" w:rsidP="00BA50B5">
    <w:pPr>
      <w:pStyle w:val="Nagwek"/>
      <w:jc w:val="center"/>
    </w:pPr>
    <w:r>
      <w:rPr>
        <w:noProof/>
      </w:rPr>
      <w:drawing>
        <wp:inline distT="0" distB="0" distL="0" distR="0" wp14:anchorId="032694F0" wp14:editId="7A2C733B">
          <wp:extent cx="5760720" cy="740410"/>
          <wp:effectExtent l="0" t="0" r="0" b="2540"/>
          <wp:docPr id="2" name="Obraz 1" descr="Znak Funduszy Europejskich (trapez z trzema gwiazdami z dopiskiem Fundusze Europejskie dla Śląskiego,  flaga Unii Europejskiej z napisem &quot;Dofinansowane przez Unię Europejską&quot; , znak graficzny Województwa Śląskiego (biały orzeł w czarnym polu z dopiskiem Województwo Śląskie.">
            <a:extLst xmlns:a="http://schemas.openxmlformats.org/drawingml/2006/main">
              <a:ext uri="{FF2B5EF4-FFF2-40B4-BE49-F238E27FC236}">
                <a16:creationId xmlns:a16="http://schemas.microsoft.com/office/drawing/2014/main" id="{318280C1-19A9-3CD0-4304-9E37D95B553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Znak Funduszy Europejskich (trapez z trzema gwiazdami z dopiskiem Fundusze Europejskie dla Śląskiego,  flaga Unii Europejskiej z napisem &quot;Dofinansowane przez Unię Europejską&quot; , znak graficzny Województwa Śląskiego (biały orzeł w czarnym polu z dopiskiem Województwo Śląskie.">
                    <a:extLst>
                      <a:ext uri="{FF2B5EF4-FFF2-40B4-BE49-F238E27FC236}">
                        <a16:creationId xmlns:a16="http://schemas.microsoft.com/office/drawing/2014/main" id="{318280C1-19A9-3CD0-4304-9E37D95B553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0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024A02D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B39FDF7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135754"/>
    <w:multiLevelType w:val="hybridMultilevel"/>
    <w:tmpl w:val="04F6D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96381A"/>
    <w:multiLevelType w:val="hybridMultilevel"/>
    <w:tmpl w:val="D6A87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D707A"/>
    <w:multiLevelType w:val="hybridMultilevel"/>
    <w:tmpl w:val="4A0036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13095E"/>
    <w:multiLevelType w:val="hybridMultilevel"/>
    <w:tmpl w:val="96801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B7236"/>
    <w:multiLevelType w:val="hybridMultilevel"/>
    <w:tmpl w:val="911A10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311A5A"/>
    <w:multiLevelType w:val="hybridMultilevel"/>
    <w:tmpl w:val="4F3AC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DB5757"/>
    <w:multiLevelType w:val="multilevel"/>
    <w:tmpl w:val="E7CC183C"/>
    <w:lvl w:ilvl="0">
      <w:start w:val="29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EC0FB6"/>
    <w:multiLevelType w:val="hybridMultilevel"/>
    <w:tmpl w:val="2DA0C830"/>
    <w:lvl w:ilvl="0" w:tplc="A4F6ED2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7708EE"/>
    <w:multiLevelType w:val="hybridMultilevel"/>
    <w:tmpl w:val="505A1ABC"/>
    <w:lvl w:ilvl="0" w:tplc="E7184ABA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7D0B8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3545D4"/>
    <w:multiLevelType w:val="hybridMultilevel"/>
    <w:tmpl w:val="B0541178"/>
    <w:lvl w:ilvl="0" w:tplc="75E43C8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EA0491"/>
    <w:multiLevelType w:val="hybridMultilevel"/>
    <w:tmpl w:val="CE3A437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DEB16CB"/>
    <w:multiLevelType w:val="hybridMultilevel"/>
    <w:tmpl w:val="1C74F54A"/>
    <w:lvl w:ilvl="0" w:tplc="3EBAE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1001F8"/>
    <w:multiLevelType w:val="hybridMultilevel"/>
    <w:tmpl w:val="F1F62EA2"/>
    <w:lvl w:ilvl="0" w:tplc="B73C253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6D3357"/>
    <w:multiLevelType w:val="multilevel"/>
    <w:tmpl w:val="9154CE26"/>
    <w:lvl w:ilvl="0">
      <w:start w:val="28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B157FD9"/>
    <w:multiLevelType w:val="hybridMultilevel"/>
    <w:tmpl w:val="2DF8E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3E74F2"/>
    <w:multiLevelType w:val="hybridMultilevel"/>
    <w:tmpl w:val="5966151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CF073A"/>
    <w:multiLevelType w:val="hybridMultilevel"/>
    <w:tmpl w:val="F0B86A72"/>
    <w:lvl w:ilvl="0" w:tplc="A5065534">
      <w:start w:val="512"/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96804305">
    <w:abstractNumId w:val="7"/>
  </w:num>
  <w:num w:numId="2" w16cid:durableId="1281644532">
    <w:abstractNumId w:val="12"/>
  </w:num>
  <w:num w:numId="3" w16cid:durableId="185562411">
    <w:abstractNumId w:val="17"/>
  </w:num>
  <w:num w:numId="4" w16cid:durableId="372536209">
    <w:abstractNumId w:val="3"/>
  </w:num>
  <w:num w:numId="5" w16cid:durableId="1192375383">
    <w:abstractNumId w:val="6"/>
  </w:num>
  <w:num w:numId="6" w16cid:durableId="713118609">
    <w:abstractNumId w:val="18"/>
  </w:num>
  <w:num w:numId="7" w16cid:durableId="1273050230">
    <w:abstractNumId w:val="2"/>
  </w:num>
  <w:num w:numId="8" w16cid:durableId="1543790159">
    <w:abstractNumId w:val="14"/>
  </w:num>
  <w:num w:numId="9" w16cid:durableId="1877236099">
    <w:abstractNumId w:val="10"/>
  </w:num>
  <w:num w:numId="10" w16cid:durableId="70587654">
    <w:abstractNumId w:val="5"/>
  </w:num>
  <w:num w:numId="11" w16cid:durableId="1507594865">
    <w:abstractNumId w:val="11"/>
  </w:num>
  <w:num w:numId="12" w16cid:durableId="69816939">
    <w:abstractNumId w:val="15"/>
  </w:num>
  <w:num w:numId="13" w16cid:durableId="2142191054">
    <w:abstractNumId w:val="8"/>
  </w:num>
  <w:num w:numId="14" w16cid:durableId="1445883204">
    <w:abstractNumId w:val="4"/>
  </w:num>
  <w:num w:numId="15" w16cid:durableId="794910841">
    <w:abstractNumId w:val="13"/>
  </w:num>
  <w:num w:numId="16" w16cid:durableId="885870358">
    <w:abstractNumId w:val="16"/>
  </w:num>
  <w:num w:numId="17" w16cid:durableId="2119643798">
    <w:abstractNumId w:val="9"/>
  </w:num>
  <w:num w:numId="18" w16cid:durableId="2029984800">
    <w:abstractNumId w:val="1"/>
  </w:num>
  <w:num w:numId="19" w16cid:durableId="1399284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31F"/>
    <w:rsid w:val="0001057B"/>
    <w:rsid w:val="000150C4"/>
    <w:rsid w:val="00020268"/>
    <w:rsid w:val="0003285B"/>
    <w:rsid w:val="0003524D"/>
    <w:rsid w:val="00050205"/>
    <w:rsid w:val="000543C1"/>
    <w:rsid w:val="00064B99"/>
    <w:rsid w:val="00072E17"/>
    <w:rsid w:val="00077A80"/>
    <w:rsid w:val="00085F89"/>
    <w:rsid w:val="000A2C3E"/>
    <w:rsid w:val="000A36D8"/>
    <w:rsid w:val="000E4556"/>
    <w:rsid w:val="00101970"/>
    <w:rsid w:val="0010430E"/>
    <w:rsid w:val="001056DD"/>
    <w:rsid w:val="001227AC"/>
    <w:rsid w:val="00134EE3"/>
    <w:rsid w:val="001424A6"/>
    <w:rsid w:val="00152984"/>
    <w:rsid w:val="001778B1"/>
    <w:rsid w:val="00186A6C"/>
    <w:rsid w:val="00187EF3"/>
    <w:rsid w:val="00193256"/>
    <w:rsid w:val="001976CB"/>
    <w:rsid w:val="001A045D"/>
    <w:rsid w:val="001B48C5"/>
    <w:rsid w:val="001C4B23"/>
    <w:rsid w:val="001E70FD"/>
    <w:rsid w:val="001F77E3"/>
    <w:rsid w:val="00203B38"/>
    <w:rsid w:val="00220AC6"/>
    <w:rsid w:val="00237C1C"/>
    <w:rsid w:val="00247A22"/>
    <w:rsid w:val="0025046F"/>
    <w:rsid w:val="00254A39"/>
    <w:rsid w:val="0026469C"/>
    <w:rsid w:val="0029141E"/>
    <w:rsid w:val="002A5DEB"/>
    <w:rsid w:val="002B646D"/>
    <w:rsid w:val="002C59E7"/>
    <w:rsid w:val="002C784B"/>
    <w:rsid w:val="002D4F41"/>
    <w:rsid w:val="002E1AE1"/>
    <w:rsid w:val="002E5EF9"/>
    <w:rsid w:val="002E6825"/>
    <w:rsid w:val="002F158C"/>
    <w:rsid w:val="002F35E0"/>
    <w:rsid w:val="00313275"/>
    <w:rsid w:val="003133B5"/>
    <w:rsid w:val="0032590C"/>
    <w:rsid w:val="0034480F"/>
    <w:rsid w:val="00370844"/>
    <w:rsid w:val="00395FBB"/>
    <w:rsid w:val="003A578C"/>
    <w:rsid w:val="003C741B"/>
    <w:rsid w:val="003D5931"/>
    <w:rsid w:val="003E1485"/>
    <w:rsid w:val="003F4E85"/>
    <w:rsid w:val="00403883"/>
    <w:rsid w:val="00417A3C"/>
    <w:rsid w:val="004209AF"/>
    <w:rsid w:val="00421F9D"/>
    <w:rsid w:val="00427B23"/>
    <w:rsid w:val="00430D97"/>
    <w:rsid w:val="0043624D"/>
    <w:rsid w:val="00440877"/>
    <w:rsid w:val="0045179E"/>
    <w:rsid w:val="004641D4"/>
    <w:rsid w:val="0049166B"/>
    <w:rsid w:val="00493CC2"/>
    <w:rsid w:val="00497E2B"/>
    <w:rsid w:val="004A5F55"/>
    <w:rsid w:val="004A7A9B"/>
    <w:rsid w:val="004B0524"/>
    <w:rsid w:val="004D6136"/>
    <w:rsid w:val="004D62B1"/>
    <w:rsid w:val="004E7CA8"/>
    <w:rsid w:val="004F190B"/>
    <w:rsid w:val="004F1C01"/>
    <w:rsid w:val="00526AFC"/>
    <w:rsid w:val="00545573"/>
    <w:rsid w:val="005549E6"/>
    <w:rsid w:val="00557C05"/>
    <w:rsid w:val="005600EF"/>
    <w:rsid w:val="00562657"/>
    <w:rsid w:val="005652B3"/>
    <w:rsid w:val="00572BCB"/>
    <w:rsid w:val="00583DDB"/>
    <w:rsid w:val="00584978"/>
    <w:rsid w:val="00585DB0"/>
    <w:rsid w:val="00591EC4"/>
    <w:rsid w:val="005A4796"/>
    <w:rsid w:val="005A7C1A"/>
    <w:rsid w:val="005B1ECD"/>
    <w:rsid w:val="005D065A"/>
    <w:rsid w:val="005D0E70"/>
    <w:rsid w:val="005D17AE"/>
    <w:rsid w:val="005D1A4C"/>
    <w:rsid w:val="005D76E0"/>
    <w:rsid w:val="005F7E43"/>
    <w:rsid w:val="00601167"/>
    <w:rsid w:val="00606B91"/>
    <w:rsid w:val="00606F98"/>
    <w:rsid w:val="0060755A"/>
    <w:rsid w:val="00610226"/>
    <w:rsid w:val="00610D03"/>
    <w:rsid w:val="00616D84"/>
    <w:rsid w:val="00627FE9"/>
    <w:rsid w:val="00632223"/>
    <w:rsid w:val="006374A9"/>
    <w:rsid w:val="00644FDC"/>
    <w:rsid w:val="006469AC"/>
    <w:rsid w:val="00673542"/>
    <w:rsid w:val="00675E30"/>
    <w:rsid w:val="006842F1"/>
    <w:rsid w:val="006962A8"/>
    <w:rsid w:val="006A2837"/>
    <w:rsid w:val="006A5468"/>
    <w:rsid w:val="006A72D6"/>
    <w:rsid w:val="006B1D36"/>
    <w:rsid w:val="006D29D8"/>
    <w:rsid w:val="006E1410"/>
    <w:rsid w:val="00723530"/>
    <w:rsid w:val="007350BF"/>
    <w:rsid w:val="0074158C"/>
    <w:rsid w:val="00750724"/>
    <w:rsid w:val="0076605B"/>
    <w:rsid w:val="00780E8F"/>
    <w:rsid w:val="00786D36"/>
    <w:rsid w:val="007A2C3F"/>
    <w:rsid w:val="007B6245"/>
    <w:rsid w:val="007B6DA9"/>
    <w:rsid w:val="007C45CA"/>
    <w:rsid w:val="007F2932"/>
    <w:rsid w:val="007F4C6F"/>
    <w:rsid w:val="00816CE9"/>
    <w:rsid w:val="00820006"/>
    <w:rsid w:val="00823039"/>
    <w:rsid w:val="00833229"/>
    <w:rsid w:val="0083768E"/>
    <w:rsid w:val="0085061F"/>
    <w:rsid w:val="00853646"/>
    <w:rsid w:val="00861175"/>
    <w:rsid w:val="00886D3B"/>
    <w:rsid w:val="008960E7"/>
    <w:rsid w:val="008A1245"/>
    <w:rsid w:val="008A1FB2"/>
    <w:rsid w:val="008B650E"/>
    <w:rsid w:val="008B6704"/>
    <w:rsid w:val="008F07D4"/>
    <w:rsid w:val="008F207B"/>
    <w:rsid w:val="00900AB3"/>
    <w:rsid w:val="009131BB"/>
    <w:rsid w:val="00921BFB"/>
    <w:rsid w:val="00930A4E"/>
    <w:rsid w:val="0093390D"/>
    <w:rsid w:val="00935209"/>
    <w:rsid w:val="0093728F"/>
    <w:rsid w:val="00947601"/>
    <w:rsid w:val="009536DB"/>
    <w:rsid w:val="0096631F"/>
    <w:rsid w:val="00971103"/>
    <w:rsid w:val="00984F87"/>
    <w:rsid w:val="00985620"/>
    <w:rsid w:val="00987F78"/>
    <w:rsid w:val="009B3F63"/>
    <w:rsid w:val="009B5615"/>
    <w:rsid w:val="009C22B4"/>
    <w:rsid w:val="009C4483"/>
    <w:rsid w:val="009C5DD4"/>
    <w:rsid w:val="009D3B44"/>
    <w:rsid w:val="009D5503"/>
    <w:rsid w:val="009D7054"/>
    <w:rsid w:val="009E2607"/>
    <w:rsid w:val="009E504D"/>
    <w:rsid w:val="009F0AF2"/>
    <w:rsid w:val="009F1DF7"/>
    <w:rsid w:val="009F5B6A"/>
    <w:rsid w:val="00A02E39"/>
    <w:rsid w:val="00A04B47"/>
    <w:rsid w:val="00A122FB"/>
    <w:rsid w:val="00A61C1F"/>
    <w:rsid w:val="00A648E3"/>
    <w:rsid w:val="00A673B3"/>
    <w:rsid w:val="00A70070"/>
    <w:rsid w:val="00A813F5"/>
    <w:rsid w:val="00A85717"/>
    <w:rsid w:val="00A977A6"/>
    <w:rsid w:val="00AA27B4"/>
    <w:rsid w:val="00AB4A7C"/>
    <w:rsid w:val="00AC0230"/>
    <w:rsid w:val="00AC1802"/>
    <w:rsid w:val="00AE0077"/>
    <w:rsid w:val="00AE1CE8"/>
    <w:rsid w:val="00AF17B5"/>
    <w:rsid w:val="00AF249A"/>
    <w:rsid w:val="00AF3933"/>
    <w:rsid w:val="00AF6164"/>
    <w:rsid w:val="00B0590F"/>
    <w:rsid w:val="00B17BA8"/>
    <w:rsid w:val="00B45DD7"/>
    <w:rsid w:val="00B467B9"/>
    <w:rsid w:val="00B50A41"/>
    <w:rsid w:val="00B527A1"/>
    <w:rsid w:val="00B535B1"/>
    <w:rsid w:val="00B551CC"/>
    <w:rsid w:val="00B654EB"/>
    <w:rsid w:val="00B66AC9"/>
    <w:rsid w:val="00B7092A"/>
    <w:rsid w:val="00B7435D"/>
    <w:rsid w:val="00B75B8A"/>
    <w:rsid w:val="00B8536B"/>
    <w:rsid w:val="00B91BCC"/>
    <w:rsid w:val="00B92680"/>
    <w:rsid w:val="00B9516C"/>
    <w:rsid w:val="00BA50B5"/>
    <w:rsid w:val="00BA6EF2"/>
    <w:rsid w:val="00BB0AE4"/>
    <w:rsid w:val="00BB5386"/>
    <w:rsid w:val="00BC7003"/>
    <w:rsid w:val="00BE4EC2"/>
    <w:rsid w:val="00BE529C"/>
    <w:rsid w:val="00BE73CC"/>
    <w:rsid w:val="00BE7BFC"/>
    <w:rsid w:val="00BF0036"/>
    <w:rsid w:val="00BF21AB"/>
    <w:rsid w:val="00C047FE"/>
    <w:rsid w:val="00C13E02"/>
    <w:rsid w:val="00C32184"/>
    <w:rsid w:val="00C3673A"/>
    <w:rsid w:val="00C36DDB"/>
    <w:rsid w:val="00C45597"/>
    <w:rsid w:val="00C65EBC"/>
    <w:rsid w:val="00C77264"/>
    <w:rsid w:val="00CB70DF"/>
    <w:rsid w:val="00CD339B"/>
    <w:rsid w:val="00CD4A6A"/>
    <w:rsid w:val="00CE043C"/>
    <w:rsid w:val="00CE12B5"/>
    <w:rsid w:val="00CE74F2"/>
    <w:rsid w:val="00CF2906"/>
    <w:rsid w:val="00CF2FE5"/>
    <w:rsid w:val="00CF5B09"/>
    <w:rsid w:val="00D03846"/>
    <w:rsid w:val="00D11E15"/>
    <w:rsid w:val="00D31EAC"/>
    <w:rsid w:val="00D403AD"/>
    <w:rsid w:val="00D5224B"/>
    <w:rsid w:val="00D61107"/>
    <w:rsid w:val="00D6731F"/>
    <w:rsid w:val="00D70C76"/>
    <w:rsid w:val="00D71DCC"/>
    <w:rsid w:val="00D8148E"/>
    <w:rsid w:val="00D929AA"/>
    <w:rsid w:val="00DC248C"/>
    <w:rsid w:val="00DD6D7A"/>
    <w:rsid w:val="00DE1B13"/>
    <w:rsid w:val="00DE3336"/>
    <w:rsid w:val="00DE343D"/>
    <w:rsid w:val="00DE77EE"/>
    <w:rsid w:val="00DF52A9"/>
    <w:rsid w:val="00DF66C0"/>
    <w:rsid w:val="00E11662"/>
    <w:rsid w:val="00E14C80"/>
    <w:rsid w:val="00E14DC0"/>
    <w:rsid w:val="00E236A2"/>
    <w:rsid w:val="00E24FB4"/>
    <w:rsid w:val="00E423BD"/>
    <w:rsid w:val="00E50981"/>
    <w:rsid w:val="00E56638"/>
    <w:rsid w:val="00E909BC"/>
    <w:rsid w:val="00E94075"/>
    <w:rsid w:val="00E95C69"/>
    <w:rsid w:val="00EA5A43"/>
    <w:rsid w:val="00EB3879"/>
    <w:rsid w:val="00EC4C00"/>
    <w:rsid w:val="00EC4CC4"/>
    <w:rsid w:val="00EC6379"/>
    <w:rsid w:val="00ED73FC"/>
    <w:rsid w:val="00EF12A3"/>
    <w:rsid w:val="00F11143"/>
    <w:rsid w:val="00F131EA"/>
    <w:rsid w:val="00F237B8"/>
    <w:rsid w:val="00F33DFA"/>
    <w:rsid w:val="00F417CD"/>
    <w:rsid w:val="00F45FE1"/>
    <w:rsid w:val="00F51385"/>
    <w:rsid w:val="00F65223"/>
    <w:rsid w:val="00F70E83"/>
    <w:rsid w:val="00F726BC"/>
    <w:rsid w:val="00F735E6"/>
    <w:rsid w:val="00F86890"/>
    <w:rsid w:val="00FA1EA2"/>
    <w:rsid w:val="00FA2129"/>
    <w:rsid w:val="00FA452D"/>
    <w:rsid w:val="00FB069C"/>
    <w:rsid w:val="00FC13B6"/>
    <w:rsid w:val="00FD3461"/>
    <w:rsid w:val="00FD3530"/>
    <w:rsid w:val="00FD49D0"/>
    <w:rsid w:val="00FE1943"/>
    <w:rsid w:val="00FF4902"/>
    <w:rsid w:val="00FF5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AE2158"/>
  <w15:docId w15:val="{208F5400-6706-40E4-B11B-3295EC706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69C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F77E3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1F77E3"/>
    <w:rPr>
      <w:rFonts w:ascii="Arial Narrow" w:eastAsia="Times New Roman" w:hAnsi="Arial Narrow" w:cs="Times New Roman"/>
      <w:szCs w:val="20"/>
      <w:lang w:val="pl-PL" w:eastAsia="pl-PL"/>
    </w:rPr>
  </w:style>
  <w:style w:type="character" w:styleId="Hipercze">
    <w:name w:val="Hyperlink"/>
    <w:rsid w:val="001F77E3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26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26BC"/>
    <w:rPr>
      <w:rFonts w:ascii="Tahoma" w:eastAsia="Times New Roman" w:hAnsi="Tahoma" w:cs="Tahoma"/>
      <w:sz w:val="16"/>
      <w:szCs w:val="16"/>
      <w:lang w:val="pl-PL" w:eastAsia="pl-PL"/>
    </w:rPr>
  </w:style>
  <w:style w:type="paragraph" w:styleId="Akapitzlist">
    <w:name w:val="List Paragraph"/>
    <w:aliases w:val="normalny tekst,ISCG Numerowanie,lp1,CW_Lista,Preambuła,L1,Numerowanie,2 heading,A_wyliczenie,K-P_odwolanie,Akapit z listą5,maz_wyliczenie,opis dzialania,T_SZ_List Paragraph,Akapit z listą BS,Kolorowa lista — akcent 11,Akapit z listą 1,Obi"/>
    <w:basedOn w:val="Normalny"/>
    <w:link w:val="AkapitzlistZnak"/>
    <w:uiPriority w:val="34"/>
    <w:qFormat/>
    <w:rsid w:val="00E95C69"/>
    <w:pPr>
      <w:ind w:left="720"/>
      <w:contextualSpacing/>
    </w:pPr>
    <w:rPr>
      <w:rFonts w:eastAsiaTheme="minorHAnsi"/>
      <w:szCs w:val="22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CD4A6A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4A6A"/>
    <w:rPr>
      <w:rFonts w:ascii="Arial Narrow" w:eastAsia="Times New Roman" w:hAnsi="Arial Narrow" w:cs="Times New Roman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CD4A6A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4A6A"/>
    <w:rPr>
      <w:rFonts w:ascii="Arial Narrow" w:eastAsia="Times New Roman" w:hAnsi="Arial Narrow" w:cs="Times New Roman"/>
      <w:szCs w:val="20"/>
      <w:lang w:val="pl-PL" w:eastAsia="pl-PL"/>
    </w:rPr>
  </w:style>
  <w:style w:type="paragraph" w:customStyle="1" w:styleId="Default">
    <w:name w:val="Default"/>
    <w:rsid w:val="005652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pl-PL"/>
    </w:rPr>
  </w:style>
  <w:style w:type="character" w:styleId="UyteHipercze">
    <w:name w:val="FollowedHyperlink"/>
    <w:basedOn w:val="Domylnaczcionkaakapitu"/>
    <w:uiPriority w:val="99"/>
    <w:semiHidden/>
    <w:unhideWhenUsed/>
    <w:rsid w:val="00186A6C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8960E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B069C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ISCG Numerowanie Znak,lp1 Znak,CW_Lista Znak,Preambuła Znak,L1 Znak,Numerowanie Znak,2 heading Znak,A_wyliczenie Znak,K-P_odwolanie Znak,Akapit z listą5 Znak,maz_wyliczenie Znak,opis dzialania Znak,Obi Znak"/>
    <w:link w:val="Akapitzlist"/>
    <w:uiPriority w:val="34"/>
    <w:qFormat/>
    <w:rsid w:val="002A5DEB"/>
    <w:rPr>
      <w:rFonts w:ascii="Arial Narrow" w:hAnsi="Arial Narrow" w:cs="Times New Roman"/>
      <w:lang w:eastAsia="pl-PL"/>
    </w:rPr>
  </w:style>
  <w:style w:type="paragraph" w:customStyle="1" w:styleId="Normalny1">
    <w:name w:val="Normalny1"/>
    <w:rsid w:val="007B6DA9"/>
    <w:pPr>
      <w:spacing w:after="0" w:line="240" w:lineRule="auto"/>
    </w:pPr>
    <w:rPr>
      <w:rFonts w:ascii="Calibri" w:eastAsia="Calibri" w:hAnsi="Calibri" w:cs="Calibri"/>
      <w:lang w:val="pl-PL"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7B6DA9"/>
    <w:pPr>
      <w:widowControl w:val="0"/>
      <w:suppressAutoHyphens/>
    </w:pPr>
    <w:rPr>
      <w:rFonts w:ascii="Times New Roman" w:hAnsi="Times New Roman"/>
      <w:sz w:val="20"/>
      <w:lang w:val="en-US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B6DA9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6DA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0257b83-01a0-45f6-b52a-3222586c34d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19C2A1180E64190064C931E76A513" ma:contentTypeVersion="15" ma:contentTypeDescription="Utwórz nowy dokument." ma:contentTypeScope="" ma:versionID="0814037fa4eb110587f42bd1260f06e1">
  <xsd:schema xmlns:xsd="http://www.w3.org/2001/XMLSchema" xmlns:xs="http://www.w3.org/2001/XMLSchema" xmlns:p="http://schemas.microsoft.com/office/2006/metadata/properties" xmlns:ns3="bc136291-45fc-4a6a-9aa9-4f65c270df16" xmlns:ns4="20257b83-01a0-45f6-b52a-3222586c34da" targetNamespace="http://schemas.microsoft.com/office/2006/metadata/properties" ma:root="true" ma:fieldsID="9edc34aca06210dc724c811f795a8868" ns3:_="" ns4:_="">
    <xsd:import namespace="bc136291-45fc-4a6a-9aa9-4f65c270df16"/>
    <xsd:import namespace="20257b83-01a0-45f6-b52a-3222586c34d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SearchProperties" minOccurs="0"/>
                <xsd:element ref="ns4:_activity" minOccurs="0"/>
                <xsd:element ref="ns4:MediaServiceObjectDetectorVersion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36291-45fc-4a6a-9aa9-4f65c270df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57b83-01a0-45f6-b52a-3222586c34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BB57F5-3987-4855-B380-DCF4BD46DE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B786BD-E243-4FF9-BA1C-86709347EF17}">
  <ds:schemaRefs>
    <ds:schemaRef ds:uri="http://schemas.microsoft.com/office/2006/metadata/properties"/>
    <ds:schemaRef ds:uri="http://schemas.microsoft.com/office/infopath/2007/PartnerControls"/>
    <ds:schemaRef ds:uri="20257b83-01a0-45f6-b52a-3222586c34da"/>
  </ds:schemaRefs>
</ds:datastoreItem>
</file>

<file path=customXml/itemProps3.xml><?xml version="1.0" encoding="utf-8"?>
<ds:datastoreItem xmlns:ds="http://schemas.openxmlformats.org/officeDocument/2006/customXml" ds:itemID="{D7F03AAE-3DD6-4833-9335-4756352BD1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39D6FA-ECD7-463C-863B-F29335A3C9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136291-45fc-4a6a-9aa9-4f65c270df16"/>
    <ds:schemaRef ds:uri="20257b83-01a0-45f6-b52a-3222586c34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8</Pages>
  <Words>2111</Words>
  <Characters>12669</Characters>
  <Application>Microsoft Office Word</Application>
  <DocSecurity>0</DocSecurity>
  <Lines>105</Lines>
  <Paragraphs>29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Dąbrowa-Pawlica</dc:creator>
  <cp:lastModifiedBy>Justyna Dąbrowa-Pawlica</cp:lastModifiedBy>
  <cp:revision>9</cp:revision>
  <cp:lastPrinted>2026-01-05T11:58:00Z</cp:lastPrinted>
  <dcterms:created xsi:type="dcterms:W3CDTF">2026-01-05T11:59:00Z</dcterms:created>
  <dcterms:modified xsi:type="dcterms:W3CDTF">2026-01-05T20:02:00Z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0dea832f-3215-42f7-90e5-35c913174863</vt:lpwstr>
  </property>
  <property fmtid="{D5CDD505-2E9C-101B-9397-08002B2CF9AE}" pid="3" name="Document Creator">
    <vt:lpwstr/>
  </property>
  <property fmtid="{D5CDD505-2E9C-101B-9397-08002B2CF9AE}" pid="4" name="Document Editor">
    <vt:lpwstr/>
  </property>
  <property fmtid="{D5CDD505-2E9C-101B-9397-08002B2CF9AE}" pid="5" name="DellClassification">
    <vt:lpwstr>No Restrictions</vt:lpwstr>
  </property>
  <property fmtid="{D5CDD505-2E9C-101B-9397-08002B2CF9AE}" pid="6" name="DellSublabels">
    <vt:lpwstr/>
  </property>
  <property fmtid="{D5CDD505-2E9C-101B-9397-08002B2CF9AE}" pid="7" name="Classification">
    <vt:lpwstr>No Restrictions</vt:lpwstr>
  </property>
  <property fmtid="{D5CDD505-2E9C-101B-9397-08002B2CF9AE}" pid="8" name="Sublabels">
    <vt:lpwstr/>
  </property>
  <property fmtid="{D5CDD505-2E9C-101B-9397-08002B2CF9AE}" pid="9" name="MSIP_Label_17cb76b2-10b8-4fe1-93d4-2202842406cd_Enabled">
    <vt:lpwstr>True</vt:lpwstr>
  </property>
  <property fmtid="{D5CDD505-2E9C-101B-9397-08002B2CF9AE}" pid="10" name="MSIP_Label_17cb76b2-10b8-4fe1-93d4-2202842406cd_SiteId">
    <vt:lpwstr>945c199a-83a2-4e80-9f8c-5a91be5752dd</vt:lpwstr>
  </property>
  <property fmtid="{D5CDD505-2E9C-101B-9397-08002B2CF9AE}" pid="11" name="MSIP_Label_17cb76b2-10b8-4fe1-93d4-2202842406cd_Owner">
    <vt:lpwstr>Kazimierz_Szczepanik@Dell.com</vt:lpwstr>
  </property>
  <property fmtid="{D5CDD505-2E9C-101B-9397-08002B2CF9AE}" pid="12" name="MSIP_Label_17cb76b2-10b8-4fe1-93d4-2202842406cd_SetDate">
    <vt:lpwstr>2019-02-12T06:48:36.8183277Z</vt:lpwstr>
  </property>
  <property fmtid="{D5CDD505-2E9C-101B-9397-08002B2CF9AE}" pid="13" name="MSIP_Label_17cb76b2-10b8-4fe1-93d4-2202842406cd_Name">
    <vt:lpwstr>External Public</vt:lpwstr>
  </property>
  <property fmtid="{D5CDD505-2E9C-101B-9397-08002B2CF9AE}" pid="14" name="MSIP_Label_17cb76b2-10b8-4fe1-93d4-2202842406cd_Application">
    <vt:lpwstr>Microsoft Azure Information Protection</vt:lpwstr>
  </property>
  <property fmtid="{D5CDD505-2E9C-101B-9397-08002B2CF9AE}" pid="15" name="MSIP_Label_17cb76b2-10b8-4fe1-93d4-2202842406cd_Extended_MSFT_Method">
    <vt:lpwstr>Manual</vt:lpwstr>
  </property>
  <property fmtid="{D5CDD505-2E9C-101B-9397-08002B2CF9AE}" pid="16" name="ContentTypeId">
    <vt:lpwstr>0x010100FF619C2A1180E64190064C931E76A513</vt:lpwstr>
  </property>
</Properties>
</file>